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03" w:rsidRPr="004B6958" w:rsidRDefault="00BB7E03">
      <w:pPr>
        <w:widowControl/>
        <w:shd w:val="clear" w:color="auto" w:fill="FFFFFF"/>
        <w:spacing w:before="100" w:beforeAutospacing="1" w:after="100" w:afterAutospacing="1" w:line="432" w:lineRule="atLeast"/>
        <w:ind w:firstLine="480"/>
        <w:jc w:val="center"/>
        <w:rPr>
          <w:rFonts w:ascii="隶书" w:eastAsia="隶书" w:hAnsi="微软雅黑" w:cs="宋体"/>
          <w:color w:val="000000"/>
          <w:kern w:val="0"/>
          <w:sz w:val="48"/>
          <w:szCs w:val="48"/>
        </w:rPr>
      </w:pPr>
      <w:r w:rsidRPr="004B6958">
        <w:rPr>
          <w:rFonts w:ascii="隶书" w:eastAsia="隶书" w:hAnsi="微软雅黑" w:cs="宋体" w:hint="eastAsia"/>
          <w:b/>
          <w:bCs/>
          <w:color w:val="FF0000"/>
          <w:kern w:val="0"/>
          <w:sz w:val="48"/>
          <w:szCs w:val="48"/>
        </w:rPr>
        <w:t>四川石油天然气发展研究中心</w:t>
      </w:r>
    </w:p>
    <w:p w:rsidR="00BB7E03" w:rsidRDefault="005612DA" w:rsidP="00BB6415">
      <w:pPr>
        <w:widowControl/>
        <w:shd w:val="clear" w:color="auto" w:fill="FFFFFF"/>
        <w:spacing w:before="100" w:beforeAutospacing="1" w:after="100" w:afterAutospacing="1" w:line="432" w:lineRule="atLeast"/>
        <w:ind w:firstLine="480"/>
        <w:jc w:val="center"/>
        <w:rPr>
          <w:rFonts w:ascii="隶书" w:eastAsia="隶书" w:hAnsi="微软雅黑" w:cs="宋体"/>
          <w:color w:val="FF0000"/>
          <w:kern w:val="0"/>
          <w:sz w:val="36"/>
          <w:szCs w:val="36"/>
        </w:rPr>
      </w:pPr>
      <w:r>
        <w:rPr>
          <w:rFonts w:ascii="隶书" w:eastAsia="隶书" w:hAnsi="微软雅黑" w:cs="宋体"/>
          <w:color w:val="FF6600"/>
          <w:kern w:val="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in;height:27.75pt" fillcolor="red" stroked="f">
            <v:shadow on="t" color="#b2b2b2" opacity="52429f" offset="3pt"/>
            <v:textpath style="font-family:&quot;宋体&quot;;font-size:28pt;font-weight:bold;v-text-kern:t" trim="t" fitpath="t" string="简 报"/>
          </v:shape>
        </w:pict>
      </w:r>
    </w:p>
    <w:p w:rsidR="00BB7E03" w:rsidRDefault="00BB7E03" w:rsidP="00A9526F">
      <w:pPr>
        <w:widowControl/>
        <w:shd w:val="clear" w:color="auto" w:fill="FFFFFF"/>
        <w:spacing w:before="100" w:beforeAutospacing="1" w:after="100" w:afterAutospacing="1"/>
        <w:ind w:firstLine="482"/>
        <w:jc w:val="center"/>
        <w:rPr>
          <w:rFonts w:ascii="微软雅黑" w:eastAsia="微软雅黑" w:hAnsi="微软雅黑" w:cs="宋体"/>
          <w:color w:val="000000"/>
          <w:kern w:val="0"/>
          <w:szCs w:val="21"/>
        </w:rPr>
      </w:pPr>
      <w:r>
        <w:rPr>
          <w:rFonts w:ascii="宋体" w:hAnsi="宋体" w:cs="宋体"/>
          <w:color w:val="000000"/>
          <w:kern w:val="0"/>
          <w:sz w:val="24"/>
          <w:szCs w:val="24"/>
        </w:rPr>
        <w:t>2015</w:t>
      </w:r>
      <w:r>
        <w:rPr>
          <w:rFonts w:ascii="宋体" w:hAnsi="宋体" w:cs="宋体" w:hint="eastAsia"/>
          <w:color w:val="000000"/>
          <w:kern w:val="0"/>
          <w:sz w:val="24"/>
          <w:szCs w:val="24"/>
        </w:rPr>
        <w:t>年第</w:t>
      </w:r>
      <w:r w:rsidR="00593F82">
        <w:rPr>
          <w:rFonts w:ascii="宋体" w:hAnsi="宋体" w:cs="宋体" w:hint="eastAsia"/>
          <w:color w:val="000000"/>
          <w:kern w:val="0"/>
          <w:sz w:val="24"/>
          <w:szCs w:val="24"/>
        </w:rPr>
        <w:t>1</w:t>
      </w:r>
      <w:r>
        <w:rPr>
          <w:rFonts w:ascii="宋体" w:hAnsi="宋体" w:cs="宋体" w:hint="eastAsia"/>
          <w:color w:val="000000"/>
          <w:kern w:val="0"/>
          <w:sz w:val="24"/>
          <w:szCs w:val="24"/>
        </w:rPr>
        <w:t>期</w:t>
      </w:r>
      <w:r>
        <w:rPr>
          <w:rFonts w:ascii="宋体" w:hAnsi="宋体" w:cs="宋体"/>
          <w:color w:val="000000"/>
          <w:kern w:val="0"/>
          <w:sz w:val="24"/>
          <w:szCs w:val="24"/>
        </w:rPr>
        <w:t>(</w:t>
      </w:r>
      <w:r>
        <w:rPr>
          <w:rFonts w:ascii="宋体" w:hAnsi="宋体" w:cs="宋体" w:hint="eastAsia"/>
          <w:color w:val="000000"/>
          <w:kern w:val="0"/>
          <w:sz w:val="24"/>
          <w:szCs w:val="24"/>
        </w:rPr>
        <w:t>总第</w:t>
      </w:r>
      <w:r w:rsidR="00471645">
        <w:rPr>
          <w:rFonts w:ascii="宋体" w:hAnsi="宋体" w:cs="宋体" w:hint="eastAsia"/>
          <w:color w:val="000000"/>
          <w:kern w:val="0"/>
          <w:sz w:val="24"/>
          <w:szCs w:val="24"/>
        </w:rPr>
        <w:t>3</w:t>
      </w:r>
      <w:r w:rsidR="00593F82">
        <w:rPr>
          <w:rFonts w:ascii="宋体" w:hAnsi="宋体" w:cs="宋体" w:hint="eastAsia"/>
          <w:color w:val="000000"/>
          <w:kern w:val="0"/>
          <w:sz w:val="24"/>
          <w:szCs w:val="24"/>
        </w:rPr>
        <w:t>1</w:t>
      </w:r>
      <w:r>
        <w:rPr>
          <w:rFonts w:ascii="宋体" w:hAnsi="宋体" w:cs="宋体" w:hint="eastAsia"/>
          <w:color w:val="000000"/>
          <w:kern w:val="0"/>
          <w:sz w:val="24"/>
          <w:szCs w:val="24"/>
        </w:rPr>
        <w:t>期</w:t>
      </w:r>
      <w:r>
        <w:rPr>
          <w:rFonts w:ascii="宋体" w:hAnsi="宋体" w:cs="宋体"/>
          <w:color w:val="000000"/>
          <w:kern w:val="0"/>
          <w:sz w:val="24"/>
          <w:szCs w:val="24"/>
        </w:rPr>
        <w:t>)</w:t>
      </w:r>
    </w:p>
    <w:p w:rsidR="00BB7E03" w:rsidRPr="00BB6415" w:rsidRDefault="00BB7E03" w:rsidP="00A9526F">
      <w:pPr>
        <w:widowControl/>
        <w:shd w:val="clear" w:color="auto" w:fill="FFFFFF"/>
        <w:spacing w:before="100" w:beforeAutospacing="1" w:after="100" w:afterAutospacing="1"/>
        <w:ind w:firstLine="482"/>
        <w:jc w:val="center"/>
        <w:rPr>
          <w:rFonts w:ascii="微软雅黑" w:eastAsia="微软雅黑" w:hAnsi="微软雅黑" w:cs="宋体"/>
          <w:color w:val="000000"/>
          <w:kern w:val="0"/>
          <w:szCs w:val="21"/>
        </w:rPr>
      </w:pPr>
      <w:r>
        <w:rPr>
          <w:rFonts w:ascii="宋体" w:hAnsi="宋体" w:cs="宋体" w:hint="eastAsia"/>
          <w:color w:val="000000"/>
          <w:kern w:val="0"/>
          <w:sz w:val="24"/>
          <w:szCs w:val="24"/>
        </w:rPr>
        <w:t>四川石油天然气发展研究中心编印</w:t>
      </w:r>
      <w:r>
        <w:rPr>
          <w:rFonts w:ascii="宋体" w:hAnsi="宋体" w:cs="宋体"/>
          <w:color w:val="000000"/>
          <w:kern w:val="0"/>
          <w:sz w:val="24"/>
          <w:szCs w:val="24"/>
        </w:rPr>
        <w:t xml:space="preserve"> 2015</w:t>
      </w:r>
      <w:r>
        <w:rPr>
          <w:rFonts w:ascii="宋体" w:hAnsi="宋体" w:cs="宋体" w:hint="eastAsia"/>
          <w:color w:val="000000"/>
          <w:kern w:val="0"/>
          <w:sz w:val="24"/>
          <w:szCs w:val="24"/>
        </w:rPr>
        <w:t>年</w:t>
      </w:r>
      <w:r w:rsidR="00593F82">
        <w:rPr>
          <w:rFonts w:ascii="宋体" w:hAnsi="宋体" w:cs="宋体" w:hint="eastAsia"/>
          <w:color w:val="000000"/>
          <w:kern w:val="0"/>
          <w:sz w:val="24"/>
          <w:szCs w:val="24"/>
        </w:rPr>
        <w:t>4</w:t>
      </w:r>
      <w:r>
        <w:rPr>
          <w:rFonts w:ascii="宋体" w:hAnsi="宋体" w:cs="宋体" w:hint="eastAsia"/>
          <w:color w:val="000000"/>
          <w:kern w:val="0"/>
          <w:sz w:val="24"/>
          <w:szCs w:val="24"/>
        </w:rPr>
        <w:t>月</w:t>
      </w:r>
      <w:r>
        <w:rPr>
          <w:rFonts w:ascii="宋体" w:hAnsi="宋体" w:cs="宋体"/>
          <w:color w:val="000000"/>
          <w:kern w:val="0"/>
          <w:sz w:val="24"/>
          <w:szCs w:val="24"/>
        </w:rPr>
        <w:t>2</w:t>
      </w:r>
      <w:r>
        <w:rPr>
          <w:rFonts w:ascii="宋体" w:hAnsi="宋体" w:cs="宋体" w:hint="eastAsia"/>
          <w:color w:val="000000"/>
          <w:kern w:val="0"/>
          <w:sz w:val="24"/>
          <w:szCs w:val="24"/>
        </w:rPr>
        <w:t>日</w:t>
      </w:r>
    </w:p>
    <w:p w:rsidR="00BB7E03" w:rsidRDefault="007D6B12" w:rsidP="004B6958">
      <w:pPr>
        <w:widowControl/>
        <w:shd w:val="clear" w:color="auto" w:fill="FFFFFF"/>
        <w:spacing w:before="100" w:beforeAutospacing="1" w:after="100" w:afterAutospacing="1" w:line="432" w:lineRule="atLeast"/>
        <w:rPr>
          <w:rFonts w:ascii="隶书" w:eastAsia="隶书" w:cs="宋体"/>
          <w:b/>
          <w:bCs/>
          <w:color w:val="000000"/>
          <w:kern w:val="0"/>
          <w:sz w:val="44"/>
          <w:szCs w:val="44"/>
        </w:rPr>
      </w:pPr>
      <w:r>
        <w:rPr>
          <w:rFonts w:ascii="隶书" w:eastAsia="隶书" w:cs="宋体"/>
          <w:b/>
          <w:bCs/>
          <w:noProof/>
          <w:color w:val="000000"/>
          <w:kern w:val="0"/>
          <w:sz w:val="44"/>
          <w:szCs w:val="44"/>
        </w:rPr>
        <w:drawing>
          <wp:inline distT="0" distB="0" distL="0" distR="0">
            <wp:extent cx="5343525" cy="1476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1476375"/>
                    </a:xfrm>
                    <a:prstGeom prst="rect">
                      <a:avLst/>
                    </a:prstGeom>
                    <a:noFill/>
                    <a:ln>
                      <a:noFill/>
                    </a:ln>
                  </pic:spPr>
                </pic:pic>
              </a:graphicData>
            </a:graphic>
          </wp:inline>
        </w:drawing>
      </w:r>
    </w:p>
    <w:p w:rsidR="00BB7E03" w:rsidRPr="004B6958" w:rsidRDefault="00BB7E03" w:rsidP="00471645">
      <w:pPr>
        <w:widowControl/>
        <w:shd w:val="clear" w:color="auto" w:fill="FFFFFF"/>
        <w:spacing w:before="100" w:beforeAutospacing="1" w:after="100" w:afterAutospacing="1" w:line="432" w:lineRule="atLeast"/>
        <w:ind w:firstLineChars="739" w:firstLine="3264"/>
        <w:rPr>
          <w:rFonts w:ascii="隶书" w:eastAsia="隶书" w:cs="宋体"/>
          <w:b/>
          <w:bCs/>
          <w:color w:val="000000"/>
          <w:kern w:val="0"/>
          <w:sz w:val="44"/>
          <w:szCs w:val="44"/>
        </w:rPr>
      </w:pPr>
      <w:r>
        <w:rPr>
          <w:rFonts w:ascii="隶书" w:eastAsia="隶书" w:cs="宋体" w:hint="eastAsia"/>
          <w:b/>
          <w:bCs/>
          <w:color w:val="000000"/>
          <w:kern w:val="0"/>
          <w:sz w:val="44"/>
          <w:szCs w:val="44"/>
        </w:rPr>
        <w:t>本期</w:t>
      </w:r>
      <w:r w:rsidRPr="004B6958">
        <w:rPr>
          <w:rFonts w:ascii="隶书" w:eastAsia="隶书" w:cs="宋体" w:hint="eastAsia"/>
          <w:b/>
          <w:bCs/>
          <w:color w:val="000000"/>
          <w:kern w:val="0"/>
          <w:sz w:val="44"/>
          <w:szCs w:val="44"/>
        </w:rPr>
        <w:t>要目</w:t>
      </w:r>
    </w:p>
    <w:p w:rsidR="00BB7E03" w:rsidRDefault="00BB7E03" w:rsidP="00471645">
      <w:pPr>
        <w:widowControl/>
        <w:shd w:val="clear" w:color="auto" w:fill="FFFFFF"/>
        <w:spacing w:before="100" w:beforeAutospacing="1" w:after="100" w:afterAutospacing="1"/>
        <w:ind w:firstLineChars="150" w:firstLine="541"/>
        <w:rPr>
          <w:rFonts w:ascii="微软雅黑" w:eastAsia="微软雅黑" w:hAnsi="微软雅黑" w:cs="宋体"/>
          <w:b/>
          <w:bCs/>
          <w:color w:val="000000"/>
          <w:kern w:val="0"/>
          <w:sz w:val="28"/>
          <w:szCs w:val="28"/>
        </w:rPr>
      </w:pPr>
      <w:r>
        <w:rPr>
          <w:rFonts w:ascii="Wingdings" w:eastAsia="华文隶书" w:hAnsi="Wingdings" w:cs="宋体"/>
          <w:b/>
          <w:bCs/>
          <w:color w:val="000000"/>
          <w:kern w:val="0"/>
          <w:sz w:val="36"/>
          <w:szCs w:val="36"/>
        </w:rPr>
        <w:t></w:t>
      </w:r>
      <w:r w:rsidR="00593F82">
        <w:rPr>
          <w:rFonts w:ascii="微软雅黑" w:eastAsia="微软雅黑" w:hAnsi="微软雅黑" w:cs="宋体" w:hint="eastAsia"/>
          <w:b/>
          <w:bCs/>
          <w:color w:val="000000"/>
          <w:kern w:val="0"/>
          <w:sz w:val="28"/>
          <w:szCs w:val="28"/>
        </w:rPr>
        <w:t>中心动态</w:t>
      </w:r>
    </w:p>
    <w:p w:rsidR="00E8490A" w:rsidRDefault="00E8490A" w:rsidP="00E8490A">
      <w:pPr>
        <w:widowControl/>
        <w:shd w:val="clear" w:color="auto" w:fill="FFFFFF"/>
        <w:spacing w:before="100" w:beforeAutospacing="1" w:after="100" w:afterAutospacing="1"/>
        <w:ind w:firstLineChars="294" w:firstLine="708"/>
        <w:rPr>
          <w:rFonts w:ascii="幼圆" w:eastAsia="幼圆" w:hAnsi="微软雅黑" w:cs="宋体" w:hint="eastAsia"/>
          <w:b/>
          <w:bCs/>
          <w:color w:val="000000"/>
          <w:kern w:val="0"/>
          <w:sz w:val="24"/>
          <w:szCs w:val="24"/>
        </w:rPr>
      </w:pPr>
      <w:r w:rsidRPr="00E8490A">
        <w:rPr>
          <w:rFonts w:ascii="幼圆" w:eastAsia="幼圆" w:hAnsi="微软雅黑" w:cs="宋体"/>
          <w:b/>
          <w:bCs/>
          <w:color w:val="000000"/>
          <w:kern w:val="0"/>
          <w:sz w:val="24"/>
          <w:szCs w:val="24"/>
        </w:rPr>
        <w:t>中心2015年度第一次学术委员会顺利召开</w:t>
      </w:r>
      <w:r w:rsidR="00BB7E03" w:rsidRPr="000B6D1C">
        <w:rPr>
          <w:rFonts w:ascii="幼圆" w:eastAsia="幼圆" w:hAnsi="微软雅黑" w:cs="宋体"/>
          <w:b/>
          <w:bCs/>
          <w:color w:val="000000"/>
          <w:kern w:val="0"/>
          <w:sz w:val="24"/>
          <w:szCs w:val="24"/>
        </w:rPr>
        <w:t xml:space="preserve">   </w:t>
      </w:r>
    </w:p>
    <w:p w:rsidR="00BB7E03" w:rsidRPr="000B6D1C" w:rsidRDefault="00E8490A" w:rsidP="00E8490A">
      <w:pPr>
        <w:widowControl/>
        <w:shd w:val="clear" w:color="auto" w:fill="FFFFFF"/>
        <w:spacing w:before="100" w:beforeAutospacing="1" w:after="100" w:afterAutospacing="1"/>
        <w:ind w:firstLineChars="294" w:firstLine="708"/>
        <w:rPr>
          <w:rFonts w:ascii="幼圆" w:eastAsia="幼圆" w:hAnsi="微软雅黑" w:cs="宋体"/>
          <w:b/>
          <w:bCs/>
          <w:color w:val="000000"/>
          <w:kern w:val="0"/>
          <w:sz w:val="24"/>
          <w:szCs w:val="24"/>
        </w:rPr>
      </w:pPr>
      <w:r w:rsidRPr="00E8490A">
        <w:rPr>
          <w:rFonts w:ascii="幼圆" w:eastAsia="幼圆" w:hAnsi="微软雅黑" w:cs="宋体"/>
          <w:b/>
          <w:bCs/>
          <w:color w:val="000000"/>
          <w:kern w:val="0"/>
          <w:sz w:val="24"/>
          <w:szCs w:val="24"/>
        </w:rPr>
        <w:t>四川石油天然气发展研究中心深入政府、企业调研</w:t>
      </w:r>
      <w:r w:rsidR="00BB7E03" w:rsidRPr="000B6D1C">
        <w:rPr>
          <w:rFonts w:ascii="幼圆" w:eastAsia="幼圆" w:hAnsi="微软雅黑" w:cs="宋体"/>
          <w:b/>
          <w:bCs/>
          <w:color w:val="000000"/>
          <w:kern w:val="0"/>
          <w:sz w:val="24"/>
          <w:szCs w:val="24"/>
        </w:rPr>
        <w:t xml:space="preserve">      </w:t>
      </w:r>
    </w:p>
    <w:p w:rsidR="00BB7E03" w:rsidRDefault="00BB7E03" w:rsidP="00471645">
      <w:pPr>
        <w:widowControl/>
        <w:shd w:val="clear" w:color="auto" w:fill="FFFFFF"/>
        <w:spacing w:before="100" w:beforeAutospacing="1" w:after="100" w:afterAutospacing="1"/>
        <w:ind w:firstLineChars="150" w:firstLine="541"/>
        <w:rPr>
          <w:rFonts w:ascii="幼圆" w:eastAsia="幼圆" w:hAnsi="微软雅黑" w:cs="宋体"/>
          <w:b/>
          <w:bCs/>
          <w:color w:val="000000"/>
          <w:kern w:val="0"/>
          <w:sz w:val="28"/>
          <w:szCs w:val="28"/>
        </w:rPr>
      </w:pPr>
      <w:r>
        <w:rPr>
          <w:rFonts w:ascii="Wingdings" w:eastAsia="华文隶书" w:hAnsi="Wingdings" w:cs="宋体"/>
          <w:b/>
          <w:bCs/>
          <w:color w:val="000000"/>
          <w:kern w:val="0"/>
          <w:sz w:val="36"/>
          <w:szCs w:val="36"/>
        </w:rPr>
        <w:t></w:t>
      </w:r>
      <w:r>
        <w:rPr>
          <w:rFonts w:ascii="微软雅黑" w:eastAsia="微软雅黑" w:hAnsi="微软雅黑" w:cs="宋体" w:hint="eastAsia"/>
          <w:b/>
          <w:bCs/>
          <w:color w:val="000000"/>
          <w:kern w:val="0"/>
          <w:sz w:val="28"/>
          <w:szCs w:val="28"/>
        </w:rPr>
        <w:t>学术</w:t>
      </w:r>
      <w:r w:rsidR="00E8490A">
        <w:rPr>
          <w:rFonts w:ascii="微软雅黑" w:eastAsia="微软雅黑" w:hAnsi="微软雅黑" w:cs="宋体" w:hint="eastAsia"/>
          <w:b/>
          <w:bCs/>
          <w:color w:val="000000"/>
          <w:kern w:val="0"/>
          <w:sz w:val="28"/>
          <w:szCs w:val="28"/>
        </w:rPr>
        <w:t>交流</w:t>
      </w:r>
    </w:p>
    <w:p w:rsidR="00E8490A" w:rsidRPr="00E8490A" w:rsidRDefault="00E8490A" w:rsidP="00E8490A">
      <w:pPr>
        <w:widowControl/>
        <w:shd w:val="clear" w:color="auto" w:fill="FFFFFF"/>
        <w:spacing w:before="100" w:beforeAutospacing="1" w:after="100" w:afterAutospacing="1"/>
        <w:ind w:leftChars="200" w:left="420" w:firstLineChars="98" w:firstLine="236"/>
        <w:rPr>
          <w:rFonts w:ascii="幼圆" w:eastAsia="幼圆" w:hAnsi="Wingdings" w:cs="宋体" w:hint="eastAsia"/>
          <w:b/>
          <w:bCs/>
          <w:color w:val="000000"/>
          <w:kern w:val="0"/>
          <w:sz w:val="24"/>
          <w:szCs w:val="24"/>
        </w:rPr>
      </w:pPr>
      <w:r w:rsidRPr="00E8490A">
        <w:rPr>
          <w:rFonts w:ascii="幼圆" w:eastAsia="幼圆" w:hAnsi="Wingdings" w:cs="宋体"/>
          <w:b/>
          <w:bCs/>
          <w:color w:val="000000"/>
          <w:kern w:val="0"/>
          <w:sz w:val="24"/>
          <w:szCs w:val="24"/>
        </w:rPr>
        <w:t>我校与石油工业出版社</w:t>
      </w:r>
      <w:r>
        <w:rPr>
          <w:rFonts w:ascii="幼圆" w:eastAsia="幼圆" w:hAnsi="Wingdings" w:cs="宋体" w:hint="eastAsia"/>
          <w:b/>
          <w:bCs/>
          <w:color w:val="000000"/>
          <w:kern w:val="0"/>
          <w:sz w:val="24"/>
          <w:szCs w:val="24"/>
        </w:rPr>
        <w:t>“</w:t>
      </w:r>
      <w:r w:rsidRPr="00E8490A">
        <w:rPr>
          <w:rFonts w:ascii="幼圆" w:eastAsia="幼圆" w:hAnsi="Wingdings" w:cs="宋体"/>
          <w:b/>
          <w:bCs/>
          <w:color w:val="000000"/>
          <w:kern w:val="0"/>
          <w:sz w:val="24"/>
          <w:szCs w:val="24"/>
        </w:rPr>
        <w:t>资源共享，合作双赢</w:t>
      </w:r>
      <w:r>
        <w:rPr>
          <w:rFonts w:ascii="幼圆" w:eastAsia="幼圆" w:hAnsi="Wingdings" w:cs="宋体" w:hint="eastAsia"/>
          <w:b/>
          <w:bCs/>
          <w:color w:val="000000"/>
          <w:kern w:val="0"/>
          <w:sz w:val="24"/>
          <w:szCs w:val="24"/>
        </w:rPr>
        <w:t>”</w:t>
      </w:r>
    </w:p>
    <w:p w:rsidR="00BF1B3A" w:rsidRDefault="00E8490A" w:rsidP="00BF1B3A">
      <w:pPr>
        <w:widowControl/>
        <w:shd w:val="clear" w:color="auto" w:fill="FFFFFF"/>
        <w:spacing w:before="100" w:beforeAutospacing="1" w:after="100" w:afterAutospacing="1"/>
        <w:ind w:leftChars="200" w:left="420" w:firstLineChars="98" w:firstLine="236"/>
        <w:rPr>
          <w:rFonts w:ascii="幼圆" w:eastAsia="幼圆" w:hAnsi="Wingdings" w:cs="宋体" w:hint="eastAsia"/>
          <w:b/>
          <w:bCs/>
          <w:color w:val="000000"/>
          <w:kern w:val="0"/>
          <w:sz w:val="24"/>
          <w:szCs w:val="24"/>
        </w:rPr>
      </w:pPr>
      <w:r w:rsidRPr="00E8490A">
        <w:rPr>
          <w:rFonts w:ascii="幼圆" w:eastAsia="幼圆" w:hAnsi="Wingdings" w:cs="宋体" w:hint="eastAsia"/>
          <w:b/>
          <w:bCs/>
          <w:color w:val="000000"/>
          <w:kern w:val="0"/>
          <w:sz w:val="24"/>
          <w:szCs w:val="24"/>
        </w:rPr>
        <w:t>——</w:t>
      </w:r>
      <w:r w:rsidRPr="00E8490A">
        <w:rPr>
          <w:rFonts w:ascii="幼圆" w:eastAsia="幼圆" w:hAnsi="Wingdings" w:cs="宋体"/>
          <w:b/>
          <w:bCs/>
          <w:color w:val="000000"/>
          <w:kern w:val="0"/>
          <w:sz w:val="24"/>
          <w:szCs w:val="24"/>
        </w:rPr>
        <w:t>石油工业出版社郎东晓老师来校交流</w:t>
      </w:r>
    </w:p>
    <w:p w:rsidR="00E8490A" w:rsidRPr="00BF1B3A" w:rsidRDefault="00E8490A" w:rsidP="00BF1B3A">
      <w:pPr>
        <w:widowControl/>
        <w:shd w:val="clear" w:color="auto" w:fill="FFFFFF"/>
        <w:spacing w:before="100" w:beforeAutospacing="1" w:after="100" w:afterAutospacing="1"/>
        <w:ind w:leftChars="200" w:left="420" w:firstLineChars="98" w:firstLine="236"/>
        <w:rPr>
          <w:rFonts w:ascii="幼圆" w:eastAsia="幼圆" w:hAnsi="Wingdings" w:cs="宋体"/>
          <w:b/>
          <w:bCs/>
          <w:color w:val="000000"/>
          <w:kern w:val="0"/>
          <w:sz w:val="24"/>
          <w:szCs w:val="24"/>
        </w:rPr>
      </w:pPr>
      <w:r w:rsidRPr="00E8490A">
        <w:rPr>
          <w:rFonts w:ascii="幼圆" w:eastAsia="幼圆" w:hAnsi="微软雅黑" w:cs="宋体"/>
          <w:b/>
          <w:bCs/>
          <w:color w:val="000000"/>
          <w:kern w:val="0"/>
          <w:sz w:val="24"/>
          <w:szCs w:val="24"/>
        </w:rPr>
        <w:t>四川石油天然气发展研究中心召开学术研讨会</w:t>
      </w:r>
    </w:p>
    <w:p w:rsidR="00E8490A" w:rsidRDefault="00BB7E03" w:rsidP="00E8490A">
      <w:pPr>
        <w:widowControl/>
        <w:shd w:val="clear" w:color="auto" w:fill="FFFFFF"/>
        <w:spacing w:before="100" w:beforeAutospacing="1" w:after="100" w:afterAutospacing="1"/>
        <w:ind w:firstLineChars="150" w:firstLine="541"/>
        <w:rPr>
          <w:rFonts w:ascii="微软雅黑" w:eastAsia="微软雅黑" w:hAnsi="微软雅黑" w:cs="宋体" w:hint="eastAsia"/>
          <w:b/>
          <w:bCs/>
          <w:color w:val="000000"/>
          <w:kern w:val="0"/>
          <w:sz w:val="28"/>
          <w:szCs w:val="28"/>
        </w:rPr>
      </w:pPr>
      <w:r>
        <w:rPr>
          <w:rFonts w:ascii="Wingdings" w:eastAsia="华文隶书" w:hAnsi="Wingdings" w:cs="宋体"/>
          <w:b/>
          <w:bCs/>
          <w:color w:val="000000"/>
          <w:kern w:val="0"/>
          <w:sz w:val="36"/>
          <w:szCs w:val="36"/>
        </w:rPr>
        <w:t></w:t>
      </w:r>
      <w:r w:rsidR="00E8490A">
        <w:rPr>
          <w:rFonts w:ascii="微软雅黑" w:eastAsia="微软雅黑" w:hAnsi="微软雅黑" w:cs="宋体" w:hint="eastAsia"/>
          <w:b/>
          <w:bCs/>
          <w:color w:val="000000"/>
          <w:kern w:val="0"/>
          <w:sz w:val="28"/>
          <w:szCs w:val="28"/>
        </w:rPr>
        <w:t>热点追踪</w:t>
      </w:r>
    </w:p>
    <w:p w:rsidR="00BF1B3A" w:rsidRPr="00BF1B3A" w:rsidRDefault="00BF1B3A" w:rsidP="00BF1B3A">
      <w:pPr>
        <w:widowControl/>
        <w:shd w:val="clear" w:color="auto" w:fill="FFFFFF"/>
        <w:spacing w:before="100" w:beforeAutospacing="1" w:after="100" w:afterAutospacing="1"/>
        <w:ind w:firstLineChars="248" w:firstLine="598"/>
        <w:rPr>
          <w:rFonts w:ascii="幼圆" w:eastAsia="幼圆" w:hAnsi="微软雅黑" w:cs="宋体" w:hint="eastAsia"/>
          <w:b/>
          <w:bCs/>
          <w:color w:val="000000"/>
          <w:kern w:val="0"/>
          <w:sz w:val="24"/>
          <w:szCs w:val="24"/>
        </w:rPr>
      </w:pPr>
      <w:r w:rsidRPr="00BF1B3A">
        <w:rPr>
          <w:rFonts w:ascii="幼圆" w:eastAsia="幼圆" w:hAnsi="微软雅黑" w:cs="宋体" w:hint="eastAsia"/>
          <w:b/>
          <w:bCs/>
          <w:color w:val="000000"/>
          <w:kern w:val="0"/>
          <w:sz w:val="24"/>
          <w:szCs w:val="24"/>
        </w:rPr>
        <w:t>“一带一路”为能源投资谋局</w:t>
      </w:r>
    </w:p>
    <w:p w:rsidR="00E8490A" w:rsidRDefault="00E8490A" w:rsidP="00E8490A">
      <w:pPr>
        <w:widowControl/>
        <w:shd w:val="clear" w:color="auto" w:fill="FFFFFF"/>
        <w:spacing w:before="100" w:beforeAutospacing="1" w:after="100" w:afterAutospacing="1"/>
        <w:ind w:firstLineChars="150" w:firstLine="420"/>
        <w:rPr>
          <w:rFonts w:ascii="微软雅黑" w:eastAsia="微软雅黑" w:hAnsi="微软雅黑" w:cs="宋体"/>
          <w:b/>
          <w:bCs/>
          <w:color w:val="000000"/>
          <w:kern w:val="0"/>
          <w:sz w:val="28"/>
          <w:szCs w:val="28"/>
        </w:rPr>
      </w:pPr>
    </w:p>
    <w:p w:rsidR="00BB7E03" w:rsidRPr="00664754" w:rsidRDefault="00593F82" w:rsidP="0066475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bookmarkStart w:id="0" w:name="_GoBack"/>
      <w:bookmarkEnd w:id="0"/>
      <w:r>
        <w:rPr>
          <w:rFonts w:ascii="华文彩云" w:eastAsia="华文彩云" w:cs="宋体" w:hint="eastAsia"/>
          <w:b/>
          <w:bCs/>
          <w:color w:val="000000"/>
          <w:kern w:val="0"/>
          <w:sz w:val="28"/>
          <w:szCs w:val="28"/>
        </w:rPr>
        <w:lastRenderedPageBreak/>
        <w:t>中心动态</w:t>
      </w:r>
    </w:p>
    <w:p w:rsidR="00593F82" w:rsidRPr="00E8490A" w:rsidRDefault="00593F82" w:rsidP="00E8490A">
      <w:pPr>
        <w:spacing w:line="360" w:lineRule="auto"/>
        <w:ind w:firstLineChars="200" w:firstLine="562"/>
        <w:jc w:val="center"/>
        <w:rPr>
          <w:rFonts w:ascii="楷体" w:eastAsia="楷体" w:hAnsi="楷体"/>
          <w:b/>
          <w:bCs/>
          <w:sz w:val="28"/>
          <w:szCs w:val="28"/>
        </w:rPr>
      </w:pPr>
      <w:r w:rsidRPr="00E8490A">
        <w:rPr>
          <w:rFonts w:ascii="楷体" w:eastAsia="楷体" w:hAnsi="楷体"/>
          <w:b/>
          <w:bCs/>
          <w:sz w:val="28"/>
          <w:szCs w:val="28"/>
        </w:rPr>
        <w:t>中心2015年度第一次学术委员会顺利召开</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2015年1月14日上午，中心2015年度第一次学术委员会在中心会议室顺利召开。会议由学术委员会副主任杨博文主持，白鹏远、龙会成、周宗放、胡国松、秦扬等学术委员参加了本次会议。</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会上，中心主任对中心2014年度工作及未来发展构想进行了汇报。中心在2014年完成了组织机构的调整，加强了与政府、油气行业的联系，进一步完善了体制机制；建立了五大研究所并出台了团队资助计划，研究人员取得丰硕研究成果；不断“探需求实”，“走出去”与“引进来”并举，积极参与学术交流、举办学术讲坛，提高了中心社会影响力；按照教育部相关政策要求，出台了高校特色新型智库建设推进计划，提交智库建议初显成效。未来，中心将进一步抓住发展良机，盘活资源，协同创新，力争在理论研究与应用研究方向产出更高质量成果，更好地服务地方社会经济。</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在结题评审阶段，经过材料审阅、讨论、投票表决等程序，最终8项课题顺利通过，准予结题。在研究所课题申报阶段，最终8项课题顺利通过。在科研奖励阶段，最终11项申请予以通过。</w:t>
      </w:r>
    </w:p>
    <w:p w:rsidR="00593F82" w:rsidRPr="00E8490A" w:rsidRDefault="00593F82" w:rsidP="00E8490A">
      <w:pPr>
        <w:spacing w:line="360" w:lineRule="auto"/>
        <w:ind w:firstLineChars="200" w:firstLine="562"/>
        <w:jc w:val="center"/>
        <w:rPr>
          <w:rFonts w:ascii="楷体" w:eastAsia="楷体" w:hAnsi="楷体"/>
          <w:b/>
          <w:bCs/>
          <w:sz w:val="28"/>
          <w:szCs w:val="28"/>
        </w:rPr>
      </w:pPr>
      <w:r w:rsidRPr="00E8490A">
        <w:rPr>
          <w:rFonts w:ascii="楷体" w:eastAsia="楷体" w:hAnsi="楷体"/>
          <w:b/>
          <w:bCs/>
          <w:sz w:val="28"/>
          <w:szCs w:val="28"/>
        </w:rPr>
        <w:t>四川石油天然气发展研究中心深入政府、企业调研</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为贯彻教育部《中国特色新型高校智库建设推进计划》文件的相关要求，进一步服务地方经济社会，把握哲学社会科学研究方向，四川石油天然气发展研究中心主任何沙、副主任陈怡男、学术委员会副主任杨博文、执行副主任陈军华及中心五大研究团队于</w:t>
      </w:r>
      <w:r w:rsidRPr="00E8490A">
        <w:rPr>
          <w:rFonts w:ascii="楷体" w:eastAsia="楷体" w:hAnsi="楷体"/>
          <w:sz w:val="24"/>
          <w:szCs w:val="24"/>
        </w:rPr>
        <w:t>11</w:t>
      </w:r>
      <w:r w:rsidRPr="00E8490A">
        <w:rPr>
          <w:rFonts w:ascii="楷体" w:eastAsia="楷体" w:hAnsi="楷体" w:hint="eastAsia"/>
          <w:sz w:val="24"/>
          <w:szCs w:val="24"/>
        </w:rPr>
        <w:t>月</w:t>
      </w:r>
      <w:r w:rsidRPr="00E8490A">
        <w:rPr>
          <w:rFonts w:ascii="楷体" w:eastAsia="楷体" w:hAnsi="楷体"/>
          <w:sz w:val="24"/>
          <w:szCs w:val="24"/>
        </w:rPr>
        <w:t>-12</w:t>
      </w:r>
      <w:r w:rsidRPr="00E8490A">
        <w:rPr>
          <w:rFonts w:ascii="楷体" w:eastAsia="楷体" w:hAnsi="楷体" w:hint="eastAsia"/>
          <w:sz w:val="24"/>
          <w:szCs w:val="24"/>
        </w:rPr>
        <w:t>月先后赴川庆钻探工程公司、中石油四川销售分公司、四川省能源局、西南油气田销售分公司等单位调研。</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在调研交流中，何沙对西南石油大学与四川石油天然气发展研究中心进行了广泛宣传，杨博文、余晓钟、胡国松、沈西林、秦扬等研究所所长对本研究所基本情况、研究方向与特色、标志性成果进行了介绍。</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何沙表示，西南石油大学是培育石油英才的摇篮，是传承石油优秀传统文化的象牙塔，为各油气企业输送了大量的优秀人才，与各单位长期保持着密切而友好的联系。今后，西南石油大学将努力培养更多适应能力强、综合素质好的毕业</w:t>
      </w:r>
      <w:r w:rsidRPr="00E8490A">
        <w:rPr>
          <w:rFonts w:ascii="楷体" w:eastAsia="楷体" w:hAnsi="楷体" w:hint="eastAsia"/>
          <w:sz w:val="24"/>
          <w:szCs w:val="24"/>
        </w:rPr>
        <w:lastRenderedPageBreak/>
        <w:t>生，为石油系统输送绵绵不断的新鲜血液。</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四川石油天然气发展研究中心是四川省哲学社会科学重点研究基地，是衔接政府、高校、企业的桥梁。中心致力于引导学术方向、加强理论研究，推动四川省油气领域哲学社会科学发展与繁荣；中心致力于深化实践，通过“走出去”，了解企业在生产、销售、管理等不同层面的研究需求，不断加大对地方经济社会的服务力度，切实合力解决企业在生产管理、销售管理、安全管理等方面的问题。</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中石油四川销售分公司副总经济师蒋胡民提出，中心经过多年发展，已经形成了一批高素质的研究团队和具有影响力的学术成果，为服务社会经济打下了良好的基础。近年来中石油四川销售分公司在管理创新方面成效突出，但还有一些新兴问题亟待研究，如在电子商务、智慧型加油站建设、信息化管理及维护等方面期待与中心开展合作研究。</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经过走访多家单位，中心初步拟定了数十个研究方向，这将成为</w:t>
      </w:r>
      <w:r w:rsidRPr="00E8490A">
        <w:rPr>
          <w:rFonts w:ascii="楷体" w:eastAsia="楷体" w:hAnsi="楷体"/>
          <w:sz w:val="24"/>
          <w:szCs w:val="24"/>
        </w:rPr>
        <w:t>2015</w:t>
      </w:r>
      <w:r w:rsidRPr="00E8490A">
        <w:rPr>
          <w:rFonts w:ascii="楷体" w:eastAsia="楷体" w:hAnsi="楷体" w:hint="eastAsia"/>
          <w:sz w:val="24"/>
          <w:szCs w:val="24"/>
        </w:rPr>
        <w:t>年中心制定课题指南的重要基础。</w:t>
      </w:r>
    </w:p>
    <w:p w:rsidR="00593F82" w:rsidRPr="00E8490A" w:rsidRDefault="00593F82" w:rsidP="00E8490A">
      <w:pPr>
        <w:spacing w:line="360" w:lineRule="auto"/>
        <w:ind w:firstLineChars="200" w:firstLine="480"/>
        <w:rPr>
          <w:rFonts w:ascii="楷体" w:eastAsia="楷体" w:hAnsi="楷体"/>
          <w:sz w:val="24"/>
          <w:szCs w:val="24"/>
        </w:rPr>
      </w:pPr>
      <w:r w:rsidRPr="00E8490A">
        <w:rPr>
          <w:rFonts w:ascii="楷体" w:eastAsia="楷体" w:hAnsi="楷体" w:hint="eastAsia"/>
          <w:sz w:val="24"/>
          <w:szCs w:val="24"/>
        </w:rPr>
        <w:t>何沙表示，中心在今后的工作中将更加“接地气”，通过调研工作，在行业中不断探需，了解政府、企业所需；不断求实，加强校企联合，将高校的人才优势、理论优势、设备优势等与企业的管理实践结合起来，解决应用性难题。</w:t>
      </w:r>
    </w:p>
    <w:p w:rsidR="00E8490A" w:rsidRPr="00E8490A" w:rsidRDefault="00593F82" w:rsidP="00E8490A">
      <w:pPr>
        <w:spacing w:line="360" w:lineRule="auto"/>
        <w:ind w:firstLineChars="200" w:firstLine="420"/>
      </w:pPr>
      <w:r w:rsidRPr="00593F82">
        <w:drawing>
          <wp:inline distT="0" distB="0" distL="0" distR="0" wp14:anchorId="76FCAE8F" wp14:editId="56C19F21">
            <wp:extent cx="5278120" cy="3958590"/>
            <wp:effectExtent l="0" t="0" r="0" b="3810"/>
            <wp:docPr id="10" name="图片 10" descr="http://og.swpu.edu.cn/Upload/image/20150115/20150115174034_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g.swpu.edu.cn/Upload/image/20150115/20150115174034_68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E8490A" w:rsidRPr="00E8490A" w:rsidRDefault="00E8490A" w:rsidP="00E8490A">
      <w:pPr>
        <w:spacing w:line="360" w:lineRule="auto"/>
        <w:ind w:firstLineChars="200" w:firstLine="562"/>
        <w:jc w:val="center"/>
        <w:rPr>
          <w:rFonts w:ascii="楷体" w:eastAsia="楷体" w:hAnsi="楷体"/>
          <w:b/>
          <w:bCs/>
          <w:sz w:val="28"/>
          <w:szCs w:val="28"/>
        </w:rPr>
      </w:pPr>
      <w:r w:rsidRPr="00E8490A">
        <w:rPr>
          <w:rFonts w:ascii="楷体" w:eastAsia="楷体" w:hAnsi="楷体"/>
          <w:b/>
          <w:bCs/>
          <w:sz w:val="28"/>
          <w:szCs w:val="28"/>
        </w:rPr>
        <w:lastRenderedPageBreak/>
        <w:t>中心智库建设成效初见 智库报告再获采纳</w:t>
      </w:r>
    </w:p>
    <w:p w:rsidR="00E8490A" w:rsidRPr="00E8490A" w:rsidRDefault="00E8490A" w:rsidP="00E8490A">
      <w:pPr>
        <w:spacing w:line="360" w:lineRule="auto"/>
        <w:ind w:firstLineChars="200" w:firstLine="480"/>
        <w:jc w:val="left"/>
        <w:rPr>
          <w:rFonts w:ascii="楷体" w:eastAsia="楷体" w:hAnsi="楷体"/>
          <w:bCs/>
          <w:sz w:val="24"/>
          <w:szCs w:val="24"/>
        </w:rPr>
      </w:pPr>
      <w:r w:rsidRPr="00E8490A">
        <w:rPr>
          <w:rFonts w:ascii="楷体" w:eastAsia="楷体" w:hAnsi="楷体"/>
          <w:bCs/>
          <w:sz w:val="24"/>
          <w:szCs w:val="24"/>
        </w:rPr>
        <w:t>十八大以来，党中央多次强调要加强中国特色新型智库建设。继2014年教育部出台《中国特色新型高校智库建设推进计划》后，今年1月20日，中共中央办公厅、国务院办公厅印发了《关于加强中国特色新型智库建设的意见》，《意见》把高校智库作为构建中国特色新型智库体系的重要组成部分，明确提出推动高校智库发展完善的相关举措，为高校结合各自优势资源和学科特色推进智库建设指明了方向。</w:t>
      </w:r>
    </w:p>
    <w:p w:rsidR="00E8490A" w:rsidRPr="00E8490A" w:rsidRDefault="00E8490A" w:rsidP="00E8490A">
      <w:pPr>
        <w:spacing w:line="360" w:lineRule="auto"/>
        <w:ind w:firstLineChars="200" w:firstLine="480"/>
        <w:jc w:val="left"/>
        <w:rPr>
          <w:rFonts w:ascii="楷体" w:eastAsia="楷体" w:hAnsi="楷体"/>
          <w:bCs/>
          <w:sz w:val="24"/>
          <w:szCs w:val="24"/>
        </w:rPr>
      </w:pPr>
      <w:r w:rsidRPr="00E8490A">
        <w:rPr>
          <w:rFonts w:ascii="楷体" w:eastAsia="楷体" w:hAnsi="楷体"/>
          <w:bCs/>
          <w:sz w:val="24"/>
          <w:szCs w:val="24"/>
        </w:rPr>
        <w:t>四川石油天然气发展研究中心作为我省哲学社会科学重点研究基地，不断探索特色新型高校智库创建模式和相关政策，于2014年3月出台了《西南石油大学关于推进四川石油天然气发展研究中心创建高校智库的工作计划（简称“计划”）》。《计划》提出，中心将依托学校油气特色科研资源，通过搭建学术研究与成果转化的平台，盘活文、理、工科优势科研资源，整合我校学术研究团队，深入推进学科融合集成发展，建成一批以实验计算技术与模拟仿真为手段的石油天然气社科实验室和专题数据库，作为创建高校智库的重要支撑，大力增强我校资政服务能力，争创国家级高校智库。今年3月，中心面向全校发布了《智库报告征集通知》、《智库报告的提交要求》、《智库撰写模板》及相关资助政策，鼓励全校教师共同参与高校智库建设，并将智库报告的提交及采纳情况作为中心研究所年终学术贡献的考核标准之一。去年4月，四川省教育厅建立了省哲学社会科学重点研究基地智库月报制度，要求各基地每月向省教育厅提交一篇智库报告。中心首次提交的《构建四川新能源产业政策支撑体系的建议》被四川省教育厅采纳，并作为模板向其余四十余家省哲学社会科学重点研究基地推广。去年8月，中心何沙教授提交的《中俄能源合作——建设“能源丝绸之路”的关键》紧扣热点，观点鲜明，引起关注（拟采纳，目前修改中）。今年4月，中心学术委员胡国松教授提交的智库报告——《碳排放约束下四川省能源产业可持续发展的建议》再次获四川省教育厅采纳。</w:t>
      </w:r>
    </w:p>
    <w:p w:rsidR="00E8490A" w:rsidRPr="00E8490A" w:rsidRDefault="00E8490A" w:rsidP="00E8490A">
      <w:pPr>
        <w:spacing w:line="360" w:lineRule="auto"/>
        <w:ind w:firstLineChars="200" w:firstLine="480"/>
        <w:jc w:val="left"/>
        <w:rPr>
          <w:rFonts w:ascii="楷体" w:eastAsia="楷体" w:hAnsi="楷体"/>
          <w:bCs/>
          <w:sz w:val="24"/>
          <w:szCs w:val="24"/>
        </w:rPr>
      </w:pPr>
      <w:r w:rsidRPr="00E8490A">
        <w:rPr>
          <w:rFonts w:ascii="楷体" w:eastAsia="楷体" w:hAnsi="楷体"/>
          <w:bCs/>
          <w:sz w:val="24"/>
          <w:szCs w:val="24"/>
        </w:rPr>
        <w:t>自去年4月以来，中心作为我校创建高校智库的重要载体，积极引导学术研究方向，推动优秀成果涌现，畅通成果输送渠道，通过四川省教育厅、四川省能源局、四川省政府政策研究室、四川省能源协会等政策咨询平台报送了中心优秀成果，获得良好反馈。</w:t>
      </w:r>
    </w:p>
    <w:p w:rsidR="00BB7E03" w:rsidRPr="00593F82" w:rsidRDefault="00BB7E03" w:rsidP="009B51D4">
      <w:pPr>
        <w:widowControl/>
        <w:shd w:val="clear" w:color="auto" w:fill="FFFFFF"/>
        <w:spacing w:before="100" w:beforeAutospacing="1" w:after="100" w:afterAutospacing="1" w:line="432" w:lineRule="atLeast"/>
        <w:jc w:val="center"/>
        <w:rPr>
          <w:rFonts w:ascii="华文彩云" w:eastAsia="华文彩云" w:cs="宋体"/>
          <w:b/>
          <w:bCs/>
          <w:color w:val="000000"/>
          <w:kern w:val="0"/>
          <w:sz w:val="28"/>
          <w:szCs w:val="28"/>
        </w:rPr>
      </w:pPr>
      <w:r w:rsidRPr="00593F82">
        <w:rPr>
          <w:rFonts w:ascii="华文彩云" w:eastAsia="华文彩云" w:cs="宋体" w:hint="eastAsia"/>
          <w:b/>
          <w:bCs/>
          <w:color w:val="000000"/>
          <w:kern w:val="0"/>
          <w:sz w:val="28"/>
          <w:szCs w:val="28"/>
        </w:rPr>
        <w:lastRenderedPageBreak/>
        <w:t>学术</w:t>
      </w:r>
      <w:r w:rsidR="00593F82" w:rsidRPr="00593F82">
        <w:rPr>
          <w:rFonts w:ascii="华文彩云" w:eastAsia="华文彩云" w:cs="宋体" w:hint="eastAsia"/>
          <w:b/>
          <w:bCs/>
          <w:color w:val="000000"/>
          <w:kern w:val="0"/>
          <w:sz w:val="28"/>
          <w:szCs w:val="28"/>
        </w:rPr>
        <w:t>交流</w:t>
      </w:r>
    </w:p>
    <w:p w:rsidR="00E8490A" w:rsidRDefault="00593F82" w:rsidP="00E8490A">
      <w:pPr>
        <w:spacing w:line="360" w:lineRule="auto"/>
        <w:ind w:firstLineChars="200" w:firstLine="562"/>
        <w:jc w:val="center"/>
        <w:rPr>
          <w:rFonts w:ascii="楷体_GB2312" w:eastAsia="楷体_GB2312" w:hint="eastAsia"/>
          <w:b/>
          <w:bCs/>
          <w:sz w:val="28"/>
          <w:szCs w:val="28"/>
        </w:rPr>
      </w:pPr>
      <w:r w:rsidRPr="00E8490A">
        <w:rPr>
          <w:rFonts w:ascii="楷体_GB2312" w:eastAsia="楷体_GB2312"/>
          <w:b/>
          <w:bCs/>
          <w:sz w:val="28"/>
          <w:szCs w:val="28"/>
        </w:rPr>
        <w:t>我校与石油工业出版社</w:t>
      </w:r>
      <w:r w:rsidRPr="00E8490A">
        <w:rPr>
          <w:rFonts w:ascii="楷体_GB2312" w:eastAsia="楷体_GB2312"/>
          <w:b/>
          <w:bCs/>
          <w:sz w:val="28"/>
          <w:szCs w:val="28"/>
        </w:rPr>
        <w:t>“</w:t>
      </w:r>
      <w:r w:rsidRPr="00E8490A">
        <w:rPr>
          <w:rFonts w:ascii="楷体_GB2312" w:eastAsia="楷体_GB2312"/>
          <w:b/>
          <w:bCs/>
          <w:sz w:val="28"/>
          <w:szCs w:val="28"/>
        </w:rPr>
        <w:t>资源共享，合作双赢</w:t>
      </w:r>
      <w:r w:rsidRPr="00E8490A">
        <w:rPr>
          <w:rFonts w:ascii="楷体_GB2312" w:eastAsia="楷体_GB2312"/>
          <w:b/>
          <w:bCs/>
          <w:sz w:val="28"/>
          <w:szCs w:val="28"/>
        </w:rPr>
        <w:t>”</w:t>
      </w:r>
    </w:p>
    <w:p w:rsidR="00593F82" w:rsidRPr="00E8490A" w:rsidRDefault="00E8490A" w:rsidP="00E8490A">
      <w:pPr>
        <w:spacing w:line="360" w:lineRule="auto"/>
        <w:ind w:firstLineChars="645" w:firstLine="1813"/>
        <w:rPr>
          <w:rFonts w:ascii="楷体_GB2312" w:eastAsia="楷体_GB2312"/>
          <w:b/>
          <w:bCs/>
          <w:sz w:val="28"/>
          <w:szCs w:val="28"/>
        </w:rPr>
      </w:pPr>
      <w:r>
        <w:rPr>
          <w:rFonts w:ascii="楷体_GB2312" w:eastAsia="楷体_GB2312" w:hint="eastAsia"/>
          <w:b/>
          <w:bCs/>
          <w:sz w:val="28"/>
          <w:szCs w:val="28"/>
        </w:rPr>
        <w:t>——</w:t>
      </w:r>
      <w:r w:rsidR="00593F82" w:rsidRPr="00E8490A">
        <w:rPr>
          <w:rFonts w:ascii="楷体_GB2312" w:eastAsia="楷体_GB2312"/>
          <w:b/>
          <w:bCs/>
          <w:sz w:val="28"/>
          <w:szCs w:val="28"/>
        </w:rPr>
        <w:t>石油工业出版社郎东晓老师来校交流</w:t>
      </w:r>
    </w:p>
    <w:p w:rsidR="00593F82" w:rsidRPr="00593F82" w:rsidRDefault="00593F82" w:rsidP="00593F82">
      <w:pPr>
        <w:spacing w:line="360" w:lineRule="auto"/>
        <w:ind w:firstLineChars="200" w:firstLine="420"/>
        <w:rPr>
          <w:rFonts w:ascii="楷体_GB2312" w:eastAsia="楷体_GB2312"/>
          <w:sz w:val="24"/>
          <w:szCs w:val="24"/>
        </w:rPr>
      </w:pPr>
      <w:r>
        <w:rPr>
          <w:noProof/>
        </w:rPr>
        <w:drawing>
          <wp:anchor distT="0" distB="0" distL="114300" distR="114300" simplePos="0" relativeHeight="251659776" behindDoc="0" locked="0" layoutInCell="1" allowOverlap="1" wp14:anchorId="2FF543F2" wp14:editId="6F3C7127">
            <wp:simplePos x="0" y="0"/>
            <wp:positionH relativeFrom="column">
              <wp:posOffset>-64770</wp:posOffset>
            </wp:positionH>
            <wp:positionV relativeFrom="paragraph">
              <wp:posOffset>2430145</wp:posOffset>
            </wp:positionV>
            <wp:extent cx="3117215" cy="2067560"/>
            <wp:effectExtent l="0" t="0" r="6985" b="8890"/>
            <wp:wrapSquare wrapText="bothSides"/>
            <wp:docPr id="12" name="图片 12" descr="http://og.swpu.edu.cn/Upload/image/20150403/20150403112324_8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g.swpu.edu.cn/Upload/image/20150403/20150403112324_86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721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CCDE7FD" wp14:editId="0249DAA9">
            <wp:simplePos x="0" y="0"/>
            <wp:positionH relativeFrom="column">
              <wp:posOffset>-131445</wp:posOffset>
            </wp:positionH>
            <wp:positionV relativeFrom="paragraph">
              <wp:posOffset>688975</wp:posOffset>
            </wp:positionV>
            <wp:extent cx="3114675" cy="1581150"/>
            <wp:effectExtent l="0" t="0" r="9525" b="0"/>
            <wp:wrapSquare wrapText="bothSides"/>
            <wp:docPr id="14" name="图片 14" descr="http://og.swpu.edu.cn/Upload/image/20150403/20150403112336_3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g.swpu.edu.cn/Upload/image/20150403/20150403112336_39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F82">
        <w:rPr>
          <w:rFonts w:ascii="楷体_GB2312" w:eastAsia="楷体_GB2312" w:hint="eastAsia"/>
          <w:sz w:val="24"/>
          <w:szCs w:val="24"/>
        </w:rPr>
        <w:t>3月26日下午3点，由四川石油天然气发展研究中心、四川省能源安全与文化社科普及基地主办，经济管理学院与马克思主义学院承办的石油工业出版社合作交流会于博学楼A508成功举办。会议</w:t>
      </w:r>
      <w:proofErr w:type="gramStart"/>
      <w:r w:rsidRPr="00593F82">
        <w:rPr>
          <w:rFonts w:ascii="楷体_GB2312" w:eastAsia="楷体_GB2312" w:hint="eastAsia"/>
          <w:sz w:val="24"/>
          <w:szCs w:val="24"/>
        </w:rPr>
        <w:t>由校副厅级</w:t>
      </w:r>
      <w:proofErr w:type="gramEnd"/>
      <w:r w:rsidRPr="00593F82">
        <w:rPr>
          <w:rFonts w:ascii="楷体_GB2312" w:eastAsia="楷体_GB2312" w:hint="eastAsia"/>
          <w:sz w:val="24"/>
          <w:szCs w:val="24"/>
        </w:rPr>
        <w:t>调研员、四川石油天然气发展研究中心主任何沙主持，石油工业出版社图书营销总监郎东晓主讲，来自马克思主义学院、经济管理学院、法学院、外国语学院的老师参加了此次交流。</w:t>
      </w:r>
    </w:p>
    <w:p w:rsidR="00593F82" w:rsidRPr="00593F82" w:rsidRDefault="00593F82" w:rsidP="00593F82">
      <w:pPr>
        <w:spacing w:line="360" w:lineRule="auto"/>
        <w:ind w:firstLineChars="200" w:firstLine="420"/>
        <w:rPr>
          <w:rFonts w:ascii="楷体_GB2312" w:eastAsia="楷体_GB2312"/>
          <w:sz w:val="24"/>
          <w:szCs w:val="24"/>
        </w:rPr>
      </w:pPr>
      <w:r>
        <w:rPr>
          <w:noProof/>
        </w:rPr>
        <w:drawing>
          <wp:anchor distT="0" distB="0" distL="114300" distR="114300" simplePos="0" relativeHeight="251661824" behindDoc="1" locked="0" layoutInCell="1" allowOverlap="1" wp14:anchorId="28240A48" wp14:editId="09AB3FEE">
            <wp:simplePos x="0" y="0"/>
            <wp:positionH relativeFrom="column">
              <wp:posOffset>-9525</wp:posOffset>
            </wp:positionH>
            <wp:positionV relativeFrom="paragraph">
              <wp:posOffset>1840230</wp:posOffset>
            </wp:positionV>
            <wp:extent cx="2476500" cy="1647825"/>
            <wp:effectExtent l="0" t="0" r="0" b="9525"/>
            <wp:wrapThrough wrapText="bothSides">
              <wp:wrapPolygon edited="0">
                <wp:start x="0" y="0"/>
                <wp:lineTo x="0" y="21475"/>
                <wp:lineTo x="21434" y="21475"/>
                <wp:lineTo x="21434" y="0"/>
                <wp:lineTo x="0" y="0"/>
              </wp:wrapPolygon>
            </wp:wrapThrough>
            <wp:docPr id="13" name="图片 13" descr="http://og.swpu.edu.cn/Upload/image/20150403/20150403112344_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g.swpu.edu.cn/Upload/image/20150403/20150403112344_85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F82">
        <w:rPr>
          <w:rFonts w:ascii="楷体_GB2312" w:eastAsia="楷体_GB2312" w:hint="eastAsia"/>
          <w:sz w:val="24"/>
          <w:szCs w:val="24"/>
        </w:rPr>
        <w:t>这次讲座旨在与在校教师分享交流石油出版社资源，已开展的各图书项目情况等。郎东晓重点介绍了出版社与我校紧密合作的“读点石油财经丛书”项目相关信息。</w:t>
      </w:r>
    </w:p>
    <w:p w:rsidR="00593F82" w:rsidRPr="00593F82" w:rsidRDefault="00593F82" w:rsidP="00593F82">
      <w:pPr>
        <w:spacing w:line="360" w:lineRule="auto"/>
        <w:ind w:firstLineChars="200" w:firstLine="480"/>
        <w:rPr>
          <w:rFonts w:ascii="楷体_GB2312" w:eastAsia="楷体_GB2312"/>
          <w:sz w:val="24"/>
          <w:szCs w:val="24"/>
        </w:rPr>
      </w:pPr>
      <w:r w:rsidRPr="00593F82">
        <w:rPr>
          <w:rFonts w:ascii="楷体_GB2312" w:eastAsia="楷体_GB2312" w:hint="eastAsia"/>
          <w:sz w:val="24"/>
          <w:szCs w:val="24"/>
        </w:rPr>
        <w:t>郎东晓阐述了“读点石油财经”丛书出版背景，回顾了该项目五年来的运行情况，并通过具体案例对不同的写作文风进行讲解。郎东晓通过信息的交流与介绍，鼓励我校教师“要敢于亮剑，亮出自己的观点”，在热点问题上勇于表达新思路、新观点。作为我校校友，郎东晓对与学校的合作给予了高度重视。</w:t>
      </w:r>
    </w:p>
    <w:p w:rsidR="00593F82" w:rsidRDefault="00593F82" w:rsidP="00593F82">
      <w:pPr>
        <w:spacing w:line="360" w:lineRule="auto"/>
        <w:ind w:firstLineChars="200" w:firstLine="480"/>
        <w:jc w:val="left"/>
        <w:rPr>
          <w:rFonts w:ascii="楷体_GB2312" w:eastAsia="楷体_GB2312" w:hint="eastAsia"/>
          <w:sz w:val="24"/>
          <w:szCs w:val="24"/>
        </w:rPr>
      </w:pPr>
      <w:r w:rsidRPr="00593F82">
        <w:rPr>
          <w:rFonts w:ascii="楷体_GB2312" w:eastAsia="楷体_GB2312" w:hint="eastAsia"/>
          <w:sz w:val="24"/>
          <w:szCs w:val="24"/>
        </w:rPr>
        <w:t>在讲座的最后，何沙介绍了未来我校对专著出版的激励和资助政策。他表示，我校与石油工业出版社今后将继续在各个层面加强合作，通过推动我校优秀成果</w:t>
      </w:r>
      <w:r w:rsidRPr="00593F82">
        <w:rPr>
          <w:rFonts w:ascii="楷体_GB2312" w:eastAsia="楷体_GB2312" w:hint="eastAsia"/>
          <w:sz w:val="24"/>
          <w:szCs w:val="24"/>
        </w:rPr>
        <w:lastRenderedPageBreak/>
        <w:t>作为专著出版，一方面开辟更多的渠道实现科研成果转化，另一方面也为高校教师提供施展才能的舞台。</w:t>
      </w:r>
    </w:p>
    <w:p w:rsidR="00593F82" w:rsidRDefault="00593F82" w:rsidP="00593F82">
      <w:pPr>
        <w:rPr>
          <w:rFonts w:ascii="楷体_GB2312" w:eastAsia="楷体_GB2312" w:hint="eastAsia"/>
          <w:sz w:val="24"/>
          <w:szCs w:val="24"/>
        </w:rPr>
      </w:pPr>
    </w:p>
    <w:p w:rsidR="003F481E" w:rsidRPr="00E8490A" w:rsidRDefault="003F481E" w:rsidP="00E8490A">
      <w:pPr>
        <w:spacing w:line="360" w:lineRule="auto"/>
        <w:ind w:firstLineChars="200" w:firstLine="562"/>
        <w:jc w:val="center"/>
        <w:rPr>
          <w:rFonts w:ascii="楷体_GB2312" w:eastAsia="楷体_GB2312"/>
          <w:b/>
          <w:bCs/>
          <w:sz w:val="28"/>
          <w:szCs w:val="28"/>
        </w:rPr>
      </w:pPr>
      <w:r w:rsidRPr="00E8490A">
        <w:rPr>
          <w:rFonts w:ascii="楷体_GB2312" w:eastAsia="楷体_GB2312"/>
          <w:b/>
          <w:bCs/>
          <w:sz w:val="28"/>
          <w:szCs w:val="28"/>
        </w:rPr>
        <w:t>四川石油天然气发展研究中心召开学术研讨会</w:t>
      </w:r>
    </w:p>
    <w:p w:rsidR="003F481E" w:rsidRPr="003F481E" w:rsidRDefault="003F481E" w:rsidP="003F481E">
      <w:pPr>
        <w:spacing w:line="360" w:lineRule="auto"/>
        <w:ind w:firstLineChars="200" w:firstLine="480"/>
        <w:rPr>
          <w:rFonts w:ascii="楷体_GB2312" w:eastAsia="楷体_GB2312"/>
          <w:sz w:val="24"/>
          <w:szCs w:val="24"/>
        </w:rPr>
      </w:pPr>
      <w:r w:rsidRPr="003F481E">
        <w:rPr>
          <w:rFonts w:ascii="楷体_GB2312" w:eastAsia="楷体_GB2312"/>
          <w:sz w:val="24"/>
          <w:szCs w:val="24"/>
        </w:rPr>
        <w:t>4</w:t>
      </w:r>
      <w:r w:rsidRPr="003F481E">
        <w:rPr>
          <w:rFonts w:ascii="楷体_GB2312" w:eastAsia="楷体_GB2312" w:hint="eastAsia"/>
          <w:sz w:val="24"/>
          <w:szCs w:val="24"/>
        </w:rPr>
        <w:t>月</w:t>
      </w:r>
      <w:r w:rsidRPr="003F481E">
        <w:rPr>
          <w:rFonts w:ascii="楷体_GB2312" w:eastAsia="楷体_GB2312"/>
          <w:sz w:val="24"/>
          <w:szCs w:val="24"/>
        </w:rPr>
        <w:t>15</w:t>
      </w:r>
      <w:r w:rsidRPr="003F481E">
        <w:rPr>
          <w:rFonts w:ascii="楷体_GB2312" w:eastAsia="楷体_GB2312" w:hint="eastAsia"/>
          <w:sz w:val="24"/>
          <w:szCs w:val="24"/>
        </w:rPr>
        <w:t>日，四川石油天然气发展研究中心（以下简称“中心”）学术研讨会在博学楼</w:t>
      </w:r>
      <w:r w:rsidRPr="003F481E">
        <w:rPr>
          <w:rFonts w:ascii="楷体_GB2312" w:eastAsia="楷体_GB2312"/>
          <w:sz w:val="24"/>
          <w:szCs w:val="24"/>
        </w:rPr>
        <w:t>A404</w:t>
      </w:r>
      <w:r w:rsidRPr="003F481E">
        <w:rPr>
          <w:rFonts w:ascii="楷体_GB2312" w:eastAsia="楷体_GB2312" w:hint="eastAsia"/>
          <w:sz w:val="24"/>
          <w:szCs w:val="24"/>
        </w:rPr>
        <w:t>顺利召开。会议由学术委员会常务副主任杨博文主持，中心主任何沙、中心五大研究所团队负责人余晓钟、沈西林、胡国松、秦扬、廖特明以及中心执行副主任陈军华等参加了本次会议。</w:t>
      </w:r>
    </w:p>
    <w:p w:rsidR="003F481E" w:rsidRDefault="003F481E" w:rsidP="003F481E">
      <w:pPr>
        <w:spacing w:line="360" w:lineRule="auto"/>
        <w:ind w:firstLineChars="200" w:firstLine="480"/>
        <w:rPr>
          <w:rFonts w:ascii="楷体_GB2312" w:eastAsia="楷体_GB2312" w:hint="eastAsia"/>
          <w:sz w:val="24"/>
          <w:szCs w:val="24"/>
        </w:rPr>
      </w:pPr>
      <w:r w:rsidRPr="003F481E">
        <w:rPr>
          <w:rFonts w:ascii="楷体_GB2312" w:eastAsia="楷体_GB2312" w:hint="eastAsia"/>
          <w:sz w:val="24"/>
          <w:szCs w:val="24"/>
        </w:rPr>
        <w:t>会上，中心学术委员会常务副主任杨博文教授对前段工作开展情况进行了总结，并组织对中心近期在科学研究、服务社会等方面的各项工作安排进行了讨论。作为四川省哲学社会科学重点研究基地，今年以来中心充分发挥衔接政府、高校、企业的桥梁作用，坚持“走出去”与“引进来”并举，科研能力、服务社会能力稳步提升。为了进一步提高理论研究与应用研究的水平，中心计划下半年以与石油工业出版社联合举办“西部油气论坛”为契机，以“油气安全”为主题，结合当前石油天然气领域的热点问题，广泛深入地开展学术交流、理论研究与应用研究，力争形成一大批高质量、高水平的研究报告、智库报告、学术论文，突出中心的研究特色和重点。同时，中心计划立足各研究团队的优势和特点，进一步深化、细化校企合作内容和方式，探</w:t>
      </w:r>
      <w:r>
        <w:rPr>
          <w:rFonts w:ascii="楷体_GB2312" w:eastAsia="楷体_GB2312" w:hint="eastAsia"/>
          <w:sz w:val="24"/>
          <w:szCs w:val="24"/>
        </w:rPr>
        <w:t>索新常态下校企合作的新模式，更好地服务地方经济，服务社会发展。</w:t>
      </w:r>
    </w:p>
    <w:p w:rsidR="00E8490A" w:rsidRPr="00E8490A" w:rsidRDefault="003F481E" w:rsidP="00E8490A">
      <w:pPr>
        <w:spacing w:line="360" w:lineRule="auto"/>
        <w:ind w:firstLineChars="200" w:firstLine="420"/>
        <w:rPr>
          <w:rFonts w:ascii="楷体_GB2312" w:eastAsia="楷体_GB2312" w:hint="eastAsia"/>
          <w:sz w:val="24"/>
          <w:szCs w:val="24"/>
        </w:rPr>
      </w:pPr>
      <w:r>
        <w:rPr>
          <w:noProof/>
        </w:rPr>
        <w:drawing>
          <wp:inline distT="0" distB="0" distL="0" distR="0" wp14:anchorId="5D46AA97" wp14:editId="7B0B50C6">
            <wp:extent cx="5278120" cy="3159751"/>
            <wp:effectExtent l="0" t="0" r="0" b="3175"/>
            <wp:docPr id="15" name="图片 15" descr="四川石油天然气发展研究中心召开学术研讨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四川石油天然气发展研究中心召开学术研讨会"/>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159751"/>
                    </a:xfrm>
                    <a:prstGeom prst="rect">
                      <a:avLst/>
                    </a:prstGeom>
                    <a:noFill/>
                    <a:ln>
                      <a:noFill/>
                    </a:ln>
                  </pic:spPr>
                </pic:pic>
              </a:graphicData>
            </a:graphic>
          </wp:inline>
        </w:drawing>
      </w:r>
    </w:p>
    <w:p w:rsidR="00E8490A" w:rsidRPr="00E8490A" w:rsidRDefault="00E8490A" w:rsidP="00E8490A">
      <w:pPr>
        <w:jc w:val="center"/>
        <w:rPr>
          <w:rFonts w:ascii="楷体_GB2312" w:eastAsia="楷体_GB2312"/>
          <w:b/>
          <w:sz w:val="28"/>
          <w:szCs w:val="28"/>
        </w:rPr>
      </w:pPr>
      <w:r w:rsidRPr="00E8490A">
        <w:rPr>
          <w:rFonts w:ascii="楷体_GB2312" w:eastAsia="楷体_GB2312"/>
          <w:b/>
          <w:sz w:val="28"/>
          <w:szCs w:val="28"/>
        </w:rPr>
        <w:lastRenderedPageBreak/>
        <w:t>中心参加四川省能源协会联络员工作会议</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2015年4月28日下午3点，四川省能源协会联络员工作会议在成都市高</w:t>
      </w:r>
      <w:proofErr w:type="gramStart"/>
      <w:r w:rsidRPr="00E8490A">
        <w:rPr>
          <w:rFonts w:ascii="楷体_GB2312" w:eastAsia="楷体_GB2312"/>
          <w:sz w:val="24"/>
          <w:szCs w:val="24"/>
        </w:rPr>
        <w:t>新区世纪</w:t>
      </w:r>
      <w:proofErr w:type="gramEnd"/>
      <w:r w:rsidRPr="00E8490A">
        <w:rPr>
          <w:rFonts w:ascii="楷体_GB2312" w:eastAsia="楷体_GB2312"/>
          <w:sz w:val="24"/>
          <w:szCs w:val="24"/>
        </w:rPr>
        <w:t>城路936号会展中心举办，中心办公室主任温馨参加了本次会议。</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会议由四川省能源协会副会长、</w:t>
      </w:r>
      <w:proofErr w:type="gramStart"/>
      <w:r w:rsidRPr="00E8490A">
        <w:rPr>
          <w:rFonts w:ascii="楷体_GB2312" w:eastAsia="楷体_GB2312"/>
          <w:sz w:val="24"/>
          <w:szCs w:val="24"/>
        </w:rPr>
        <w:t>省发改</w:t>
      </w:r>
      <w:proofErr w:type="gramEnd"/>
      <w:r w:rsidRPr="00E8490A">
        <w:rPr>
          <w:rFonts w:ascii="楷体_GB2312" w:eastAsia="楷体_GB2312"/>
          <w:sz w:val="24"/>
          <w:szCs w:val="24"/>
        </w:rPr>
        <w:t>委原副巡视员陈兴富主持，四川大学能源发展研究中心、四川省投资集团有限公司、华能四川水电有限公司等70余会员单位参加。</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兴业银行成都分行能源产业金融中心副总经理刘骥致欢迎辞，省能源协会副会长兼秘书长马光文教授通报了2014年、2015年协会和联络员工作，提出了2015年工作的七大重点。四川省能源协会副会长陈兴富在会上宣读表彰2014年度优秀联络员工作，并听取对协会和联络员工作建设意见。最后，省能源协会会长、</w:t>
      </w:r>
      <w:proofErr w:type="gramStart"/>
      <w:r w:rsidRPr="00E8490A">
        <w:rPr>
          <w:rFonts w:ascii="楷体_GB2312" w:eastAsia="楷体_GB2312"/>
          <w:sz w:val="24"/>
          <w:szCs w:val="24"/>
        </w:rPr>
        <w:t>省发改</w:t>
      </w:r>
      <w:proofErr w:type="gramEnd"/>
      <w:r w:rsidRPr="00E8490A">
        <w:rPr>
          <w:rFonts w:ascii="楷体_GB2312" w:eastAsia="楷体_GB2312"/>
          <w:sz w:val="24"/>
          <w:szCs w:val="24"/>
        </w:rPr>
        <w:t>委原党组副书记、常务副主任李亚平总结讲话。</w:t>
      </w:r>
    </w:p>
    <w:p w:rsidR="00E8490A" w:rsidRDefault="00E8490A" w:rsidP="00E8490A">
      <w:pPr>
        <w:spacing w:line="360" w:lineRule="auto"/>
        <w:ind w:firstLineChars="200" w:firstLine="480"/>
        <w:rPr>
          <w:rFonts w:ascii="楷体_GB2312" w:eastAsia="楷体_GB2312" w:hint="eastAsia"/>
          <w:sz w:val="24"/>
          <w:szCs w:val="24"/>
        </w:rPr>
      </w:pPr>
      <w:r w:rsidRPr="00E8490A">
        <w:rPr>
          <w:rFonts w:ascii="楷体_GB2312" w:eastAsia="楷体_GB2312"/>
          <w:sz w:val="24"/>
          <w:szCs w:val="24"/>
        </w:rPr>
        <w:t>在座谈中，温馨博士感谢省能源协会授予优秀联络员称号，省能源协会为四川省能源产业的可持续发展提供了良好的沟通和交流平台，中心今后将继续做好联络工作，积极参加省能源协会的各项活动，并积极反馈单位的重大事项。另外，温馨博士就省能源协会活动开展形式、期刊栏目的创新等问题提出了建议。</w:t>
      </w:r>
    </w:p>
    <w:p w:rsidR="00E8490A" w:rsidRDefault="00E8490A" w:rsidP="00E8490A">
      <w:pPr>
        <w:spacing w:line="360" w:lineRule="auto"/>
        <w:ind w:firstLineChars="200" w:firstLine="480"/>
        <w:rPr>
          <w:rFonts w:ascii="楷体_GB2312" w:eastAsia="楷体_GB2312" w:hint="eastAsia"/>
          <w:sz w:val="24"/>
          <w:szCs w:val="24"/>
        </w:rPr>
      </w:pPr>
    </w:p>
    <w:p w:rsidR="00E8490A" w:rsidRPr="00E8490A" w:rsidRDefault="00E8490A" w:rsidP="00E8490A">
      <w:pPr>
        <w:widowControl/>
        <w:shd w:val="clear" w:color="auto" w:fill="FFFFFF"/>
        <w:spacing w:before="100" w:beforeAutospacing="1" w:after="100" w:afterAutospacing="1" w:line="432" w:lineRule="atLeast"/>
        <w:jc w:val="center"/>
        <w:rPr>
          <w:rFonts w:ascii="华文彩云" w:eastAsia="华文彩云" w:cs="宋体" w:hint="eastAsia"/>
          <w:b/>
          <w:bCs/>
          <w:color w:val="000000"/>
          <w:kern w:val="0"/>
          <w:sz w:val="28"/>
          <w:szCs w:val="28"/>
        </w:rPr>
      </w:pPr>
      <w:r w:rsidRPr="00E8490A">
        <w:rPr>
          <w:rFonts w:ascii="华文彩云" w:eastAsia="华文彩云" w:cs="宋体" w:hint="eastAsia"/>
          <w:b/>
          <w:bCs/>
          <w:color w:val="000000"/>
          <w:kern w:val="0"/>
          <w:sz w:val="28"/>
          <w:szCs w:val="28"/>
        </w:rPr>
        <w:t>热点追踪</w:t>
      </w:r>
    </w:p>
    <w:p w:rsidR="00E8490A" w:rsidRPr="00E8490A" w:rsidRDefault="00E8490A" w:rsidP="00E8490A">
      <w:pPr>
        <w:spacing w:line="360" w:lineRule="auto"/>
        <w:ind w:firstLineChars="200" w:firstLine="562"/>
        <w:jc w:val="center"/>
        <w:rPr>
          <w:rFonts w:ascii="楷体_GB2312" w:eastAsia="楷体_GB2312"/>
          <w:b/>
          <w:bCs/>
          <w:sz w:val="28"/>
          <w:szCs w:val="28"/>
        </w:rPr>
      </w:pPr>
      <w:r w:rsidRPr="00E8490A">
        <w:rPr>
          <w:rFonts w:ascii="楷体_GB2312" w:eastAsia="楷体_GB2312"/>
          <w:b/>
          <w:bCs/>
          <w:sz w:val="28"/>
          <w:szCs w:val="28"/>
        </w:rPr>
        <w:t>“</w:t>
      </w:r>
      <w:r w:rsidRPr="00E8490A">
        <w:rPr>
          <w:rFonts w:ascii="楷体_GB2312" w:eastAsia="楷体_GB2312"/>
          <w:b/>
          <w:bCs/>
          <w:sz w:val="28"/>
          <w:szCs w:val="28"/>
        </w:rPr>
        <w:t>一带一路</w:t>
      </w:r>
      <w:r w:rsidRPr="00E8490A">
        <w:rPr>
          <w:rFonts w:ascii="楷体_GB2312" w:eastAsia="楷体_GB2312"/>
          <w:b/>
          <w:bCs/>
          <w:sz w:val="28"/>
          <w:szCs w:val="28"/>
        </w:rPr>
        <w:t>”</w:t>
      </w:r>
      <w:r w:rsidRPr="00E8490A">
        <w:rPr>
          <w:rFonts w:ascii="楷体_GB2312" w:eastAsia="楷体_GB2312"/>
          <w:b/>
          <w:bCs/>
          <w:sz w:val="28"/>
          <w:szCs w:val="28"/>
        </w:rPr>
        <w:t>为能源投资谋局</w:t>
      </w:r>
    </w:p>
    <w:p w:rsidR="00E8490A" w:rsidRPr="00E8490A" w:rsidRDefault="00E8490A" w:rsidP="00E8490A">
      <w:pPr>
        <w:spacing w:line="360" w:lineRule="auto"/>
        <w:ind w:firstLineChars="1000" w:firstLine="2400"/>
        <w:rPr>
          <w:rFonts w:ascii="楷体_GB2312" w:eastAsia="楷体_GB2312"/>
          <w:sz w:val="24"/>
          <w:szCs w:val="24"/>
        </w:rPr>
      </w:pPr>
      <w:r>
        <w:rPr>
          <w:rFonts w:ascii="楷体_GB2312" w:eastAsia="楷体_GB2312" w:hint="eastAsia"/>
          <w:sz w:val="24"/>
          <w:szCs w:val="24"/>
        </w:rPr>
        <w:t>（来源：</w:t>
      </w:r>
      <w:r w:rsidRPr="00E8490A">
        <w:rPr>
          <w:rFonts w:ascii="楷体_GB2312" w:eastAsia="楷体_GB2312"/>
          <w:sz w:val="24"/>
          <w:szCs w:val="24"/>
        </w:rPr>
        <w:t xml:space="preserve"> </w:t>
      </w:r>
      <w:hyperlink r:id="rId14" w:tgtFrame="_blank" w:history="1">
        <w:r w:rsidRPr="00E8490A">
          <w:rPr>
            <w:rStyle w:val="a9"/>
            <w:rFonts w:ascii="楷体_GB2312" w:eastAsia="楷体_GB2312"/>
            <w:sz w:val="24"/>
            <w:szCs w:val="24"/>
          </w:rPr>
          <w:t>中国</w:t>
        </w:r>
        <w:proofErr w:type="gramStart"/>
        <w:r w:rsidRPr="00E8490A">
          <w:rPr>
            <w:rStyle w:val="a9"/>
            <w:rFonts w:ascii="楷体_GB2312" w:eastAsia="楷体_GB2312"/>
            <w:sz w:val="24"/>
            <w:szCs w:val="24"/>
          </w:rPr>
          <w:t>能源网</w:t>
        </w:r>
        <w:proofErr w:type="gramEnd"/>
      </w:hyperlink>
      <w:r w:rsidRPr="00E8490A">
        <w:rPr>
          <w:rFonts w:ascii="楷体_GB2312" w:eastAsia="楷体_GB2312"/>
          <w:sz w:val="24"/>
          <w:szCs w:val="24"/>
        </w:rPr>
        <w:t> </w:t>
      </w:r>
      <w:r w:rsidRPr="00E8490A">
        <w:rPr>
          <w:rFonts w:ascii="楷体_GB2312" w:eastAsia="楷体_GB2312"/>
          <w:sz w:val="24"/>
          <w:szCs w:val="24"/>
        </w:rPr>
        <w:t xml:space="preserve">　 作者：</w:t>
      </w:r>
      <w:r w:rsidRPr="00E8490A">
        <w:rPr>
          <w:rFonts w:ascii="楷体_GB2312" w:eastAsia="楷体_GB2312"/>
          <w:sz w:val="24"/>
          <w:szCs w:val="24"/>
        </w:rPr>
        <w:t> </w:t>
      </w:r>
      <w:hyperlink r:id="rId15" w:history="1">
        <w:r w:rsidRPr="00E8490A">
          <w:rPr>
            <w:rStyle w:val="a9"/>
            <w:rFonts w:ascii="楷体_GB2312" w:eastAsia="楷体_GB2312"/>
            <w:sz w:val="24"/>
            <w:szCs w:val="24"/>
          </w:rPr>
          <w:t>赵云峰</w:t>
        </w:r>
      </w:hyperlink>
      <w:r>
        <w:rPr>
          <w:rFonts w:ascii="楷体_GB2312" w:eastAsia="楷体_GB2312" w:hint="eastAsia"/>
          <w:sz w:val="24"/>
          <w:szCs w:val="24"/>
        </w:rPr>
        <w:t>）</w:t>
      </w:r>
      <w:r w:rsidRPr="00E8490A">
        <w:rPr>
          <w:rFonts w:ascii="楷体_GB2312" w:eastAsia="楷体_GB2312"/>
          <w:sz w:val="24"/>
          <w:szCs w:val="24"/>
        </w:rPr>
        <w:t> </w:t>
      </w:r>
    </w:p>
    <w:p w:rsidR="00E8490A" w:rsidRPr="00E8490A" w:rsidRDefault="00E8490A" w:rsidP="00E8490A">
      <w:pPr>
        <w:spacing w:line="360" w:lineRule="auto"/>
        <w:ind w:firstLineChars="200" w:firstLine="480"/>
        <w:rPr>
          <w:rFonts w:ascii="楷体_GB2312" w:eastAsia="楷体_GB2312"/>
          <w:sz w:val="24"/>
          <w:szCs w:val="24"/>
        </w:rPr>
      </w:pPr>
      <w:r>
        <w:rPr>
          <w:rFonts w:ascii="楷体_GB2312" w:eastAsia="楷体_GB2312" w:hint="eastAsia"/>
          <w:sz w:val="24"/>
          <w:szCs w:val="24"/>
        </w:rPr>
        <w:t xml:space="preserve"> </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2015年3月，国家发展改革委、外交部、商务部联合发布的《推动共建丝绸之路经济带和21世纪海上丝绸之路的愿景与行动》，我国将与周边国家加强能源基础设施互联互通合作，共同维护输油、输气管道等运输通道安全，推进跨境电力与输电通道建设，积极开展区域电网升级改造合作。</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目前，中国能源领域已经与亚洲、欧洲、美洲和非洲等地区和国家展开合作，石油、天然气、电力领域先行为能源企业走出去探路。作为</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构想的着力点，能源行业也将迎来新一轮商机，通过国际间企业合作拉动能源投资。</w:t>
      </w:r>
    </w:p>
    <w:p w:rsidR="00E8490A" w:rsidRPr="00E8490A" w:rsidRDefault="00E8490A" w:rsidP="00E8490A">
      <w:pPr>
        <w:spacing w:line="360" w:lineRule="auto"/>
        <w:ind w:firstLineChars="200" w:firstLine="482"/>
        <w:rPr>
          <w:rFonts w:ascii="楷体_GB2312" w:eastAsia="楷体_GB2312"/>
          <w:sz w:val="24"/>
          <w:szCs w:val="24"/>
        </w:rPr>
      </w:pPr>
      <w:r w:rsidRPr="00E8490A">
        <w:rPr>
          <w:rFonts w:ascii="楷体_GB2312" w:eastAsia="楷体_GB2312"/>
          <w:b/>
          <w:bCs/>
          <w:sz w:val="24"/>
          <w:szCs w:val="24"/>
        </w:rPr>
        <w:lastRenderedPageBreak/>
        <w:t>共商、共享、共建契合能源现状</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长期以来由美国主导的地区性经济复兴计划，支撑本投资和政策制度的弊端日益遭到这些地区的抵触。此外，在页岩气带动下，美国通过重振制造业战略，</w:t>
      </w:r>
      <w:proofErr w:type="gramStart"/>
      <w:r w:rsidRPr="00E8490A">
        <w:rPr>
          <w:rFonts w:ascii="楷体_GB2312" w:eastAsia="楷体_GB2312"/>
          <w:sz w:val="24"/>
          <w:szCs w:val="24"/>
        </w:rPr>
        <w:t>欲树立</w:t>
      </w:r>
      <w:proofErr w:type="gramEnd"/>
      <w:r w:rsidRPr="00E8490A">
        <w:rPr>
          <w:rFonts w:ascii="楷体_GB2312" w:eastAsia="楷体_GB2312"/>
          <w:sz w:val="24"/>
          <w:szCs w:val="24"/>
        </w:rPr>
        <w:t>金融和制造业的双重霸主地位，这无疑压缩了欧洲和中国的市场空间。</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目前，中国已经成为世界上第二大市场，超越美国指日可待。除国内拥有巨大的市场空间，在新的国际背景下，中国已经意识到可以利用国内市场为基石，拉动</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沿线国家的经济发展。</w:t>
      </w:r>
      <w:r w:rsidRPr="00E8490A">
        <w:rPr>
          <w:rFonts w:ascii="楷体_GB2312" w:eastAsia="楷体_GB2312"/>
          <w:sz w:val="24"/>
          <w:szCs w:val="24"/>
        </w:rPr>
        <w:t>“</w:t>
      </w:r>
      <w:r w:rsidRPr="00E8490A">
        <w:rPr>
          <w:rFonts w:ascii="楷体_GB2312" w:eastAsia="楷体_GB2312"/>
          <w:sz w:val="24"/>
          <w:szCs w:val="24"/>
        </w:rPr>
        <w:t>在</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沿线地区，资源丰富和人民贫穷的反差明显，原因就是基础设施薄弱，中国通过向这些地区开放市场，增加基础设施投资，与当地国家一起实现资源开发、外输和</w:t>
      </w:r>
      <w:r w:rsidRPr="00E8490A">
        <w:rPr>
          <w:rFonts w:ascii="楷体_GB2312" w:eastAsia="楷体_GB2312"/>
          <w:sz w:val="24"/>
          <w:szCs w:val="24"/>
        </w:rPr>
        <w:t>‘</w:t>
      </w:r>
      <w:r w:rsidRPr="00E8490A">
        <w:rPr>
          <w:rFonts w:ascii="楷体_GB2312" w:eastAsia="楷体_GB2312"/>
          <w:sz w:val="24"/>
          <w:szCs w:val="24"/>
        </w:rPr>
        <w:t>变现</w:t>
      </w:r>
      <w:r w:rsidRPr="00E8490A">
        <w:rPr>
          <w:rFonts w:ascii="楷体_GB2312" w:eastAsia="楷体_GB2312"/>
          <w:sz w:val="24"/>
          <w:szCs w:val="24"/>
        </w:rPr>
        <w:t>’”</w:t>
      </w:r>
      <w:r w:rsidRPr="00E8490A">
        <w:rPr>
          <w:rFonts w:ascii="楷体_GB2312" w:eastAsia="楷体_GB2312"/>
          <w:sz w:val="24"/>
          <w:szCs w:val="24"/>
        </w:rPr>
        <w:t>，</w:t>
      </w:r>
      <w:hyperlink r:id="rId16" w:tgtFrame="_blank" w:history="1">
        <w:r w:rsidRPr="00E8490A">
          <w:rPr>
            <w:rStyle w:val="a9"/>
            <w:rFonts w:ascii="楷体_GB2312" w:eastAsia="楷体_GB2312"/>
            <w:sz w:val="24"/>
            <w:szCs w:val="24"/>
          </w:rPr>
          <w:t>中国</w:t>
        </w:r>
        <w:proofErr w:type="gramStart"/>
        <w:r w:rsidRPr="00E8490A">
          <w:rPr>
            <w:rStyle w:val="a9"/>
            <w:rFonts w:ascii="楷体_GB2312" w:eastAsia="楷体_GB2312"/>
            <w:sz w:val="24"/>
            <w:szCs w:val="24"/>
          </w:rPr>
          <w:t>能源网</w:t>
        </w:r>
        <w:proofErr w:type="gramEnd"/>
      </w:hyperlink>
      <w:r w:rsidRPr="00E8490A">
        <w:rPr>
          <w:rFonts w:ascii="楷体_GB2312" w:eastAsia="楷体_GB2312"/>
          <w:sz w:val="24"/>
          <w:szCs w:val="24"/>
        </w:rPr>
        <w:t>首席信息官</w:t>
      </w:r>
      <w:hyperlink r:id="rId17" w:tgtFrame="_blank" w:history="1">
        <w:r w:rsidRPr="00E8490A">
          <w:rPr>
            <w:rStyle w:val="a9"/>
            <w:rFonts w:ascii="楷体_GB2312" w:eastAsia="楷体_GB2312"/>
            <w:sz w:val="24"/>
            <w:szCs w:val="24"/>
          </w:rPr>
          <w:t>韩晓平</w:t>
        </w:r>
      </w:hyperlink>
      <w:r w:rsidRPr="00E8490A">
        <w:rPr>
          <w:rFonts w:ascii="楷体_GB2312" w:eastAsia="楷体_GB2312"/>
          <w:sz w:val="24"/>
          <w:szCs w:val="24"/>
        </w:rPr>
        <w:t>表示。</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得益于我国经济快速增长带来的能源需求，能源行业积累了丰富的技术、经验、人才和基础建设产能，</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沿线国家可以很好地承接中国产业转移，通过了欧洲、日本和印度等地的经济发展，但也为中东和中亚资源型国家和地区带来了经济、宗教和战乱问题。西方</w:t>
      </w:r>
      <w:proofErr w:type="gramStart"/>
      <w:r w:rsidRPr="00E8490A">
        <w:rPr>
          <w:rFonts w:ascii="楷体_GB2312" w:eastAsia="楷体_GB2312"/>
          <w:sz w:val="24"/>
          <w:szCs w:val="24"/>
        </w:rPr>
        <w:t>资市场</w:t>
      </w:r>
      <w:proofErr w:type="gramEnd"/>
      <w:r w:rsidRPr="00E8490A">
        <w:rPr>
          <w:rFonts w:ascii="楷体_GB2312" w:eastAsia="楷体_GB2312"/>
          <w:sz w:val="24"/>
          <w:szCs w:val="24"/>
        </w:rPr>
        <w:t>实现国家间资源优化配置。</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在</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proofErr w:type="gramStart"/>
      <w:r w:rsidRPr="00E8490A">
        <w:rPr>
          <w:rFonts w:ascii="楷体_GB2312" w:eastAsia="楷体_GB2312"/>
          <w:sz w:val="24"/>
          <w:szCs w:val="24"/>
        </w:rPr>
        <w:t>的愿景与</w:t>
      </w:r>
      <w:proofErr w:type="gramEnd"/>
      <w:r w:rsidRPr="00E8490A">
        <w:rPr>
          <w:rFonts w:ascii="楷体_GB2312" w:eastAsia="楷体_GB2312"/>
          <w:sz w:val="24"/>
          <w:szCs w:val="24"/>
        </w:rPr>
        <w:t>行动计划中，我国提出要加大煤炭、油气、金属矿产等传统能源资源勘探开发合作，积极推动水电、核电、风电、太阳能等清洁、可再生能源合作，推进能源资源就地就近加工转化合作，形成能源资源合作上下游一体化产业链，加强能源资源深加工技术、装备与工程服务合作。</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如果将能源产业提出并分析当前的境况：我国煤炭产能过剩问题突出，</w:t>
      </w:r>
      <w:proofErr w:type="gramStart"/>
      <w:r w:rsidRPr="00E8490A">
        <w:rPr>
          <w:rFonts w:ascii="楷体_GB2312" w:eastAsia="楷体_GB2312"/>
          <w:sz w:val="24"/>
          <w:szCs w:val="24"/>
        </w:rPr>
        <w:t>煤企亏损</w:t>
      </w:r>
      <w:proofErr w:type="gramEnd"/>
      <w:r w:rsidRPr="00E8490A">
        <w:rPr>
          <w:rFonts w:ascii="楷体_GB2312" w:eastAsia="楷体_GB2312"/>
          <w:sz w:val="24"/>
          <w:szCs w:val="24"/>
        </w:rPr>
        <w:t>面已超80%；大型油田增储、上产、稳产压力日益增加；常规和非常规天然气生产不能满足未来巨大市场需求；清洁能源与可再生能源面临不同程度的开发和应用瓶颈。</w:t>
      </w:r>
    </w:p>
    <w:p w:rsidR="00E8490A" w:rsidRPr="00E8490A" w:rsidRDefault="00E8490A" w:rsidP="00E8490A">
      <w:pPr>
        <w:spacing w:line="360" w:lineRule="auto"/>
        <w:ind w:firstLineChars="200" w:firstLine="482"/>
        <w:rPr>
          <w:rFonts w:ascii="楷体_GB2312" w:eastAsia="楷体_GB2312"/>
          <w:sz w:val="24"/>
          <w:szCs w:val="24"/>
        </w:rPr>
      </w:pPr>
      <w:r w:rsidRPr="00E8490A">
        <w:rPr>
          <w:rFonts w:ascii="楷体_GB2312" w:eastAsia="楷体_GB2312"/>
          <w:b/>
          <w:bCs/>
          <w:sz w:val="24"/>
          <w:szCs w:val="24"/>
        </w:rPr>
        <w:t>“</w:t>
      </w:r>
      <w:r w:rsidRPr="00E8490A">
        <w:rPr>
          <w:rFonts w:ascii="楷体_GB2312" w:eastAsia="楷体_GB2312"/>
          <w:b/>
          <w:bCs/>
          <w:sz w:val="24"/>
          <w:szCs w:val="24"/>
        </w:rPr>
        <w:t>一带一路</w:t>
      </w:r>
      <w:r w:rsidRPr="00E8490A">
        <w:rPr>
          <w:rFonts w:ascii="楷体_GB2312" w:eastAsia="楷体_GB2312"/>
          <w:b/>
          <w:bCs/>
          <w:sz w:val="24"/>
          <w:szCs w:val="24"/>
        </w:rPr>
        <w:t>”</w:t>
      </w:r>
      <w:r w:rsidRPr="00E8490A">
        <w:rPr>
          <w:rFonts w:ascii="楷体_GB2312" w:eastAsia="楷体_GB2312"/>
          <w:b/>
          <w:bCs/>
          <w:sz w:val="24"/>
          <w:szCs w:val="24"/>
        </w:rPr>
        <w:t>能源投资框架</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对于当前能源产业面临过剩和需求交织的现状，韩晓平认为：</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沿线国家在需要提升基础设施建设的同时，中国也可以提供符合这些地区消费层次产品，保证了这些基础设施可以得到充分的利用。</w:t>
      </w:r>
      <w:r w:rsidRPr="00E8490A">
        <w:rPr>
          <w:rFonts w:ascii="楷体_GB2312" w:eastAsia="楷体_GB2312"/>
          <w:sz w:val="24"/>
          <w:szCs w:val="24"/>
        </w:rPr>
        <w:t>”</w:t>
      </w:r>
      <w:r w:rsidRPr="00E8490A">
        <w:rPr>
          <w:rFonts w:ascii="楷体_GB2312" w:eastAsia="楷体_GB2312"/>
          <w:sz w:val="24"/>
          <w:szCs w:val="24"/>
        </w:rPr>
        <w:t>这一判断对能源投资十分关键，从国际社会踊跃</w:t>
      </w:r>
      <w:proofErr w:type="gramStart"/>
      <w:r w:rsidRPr="00E8490A">
        <w:rPr>
          <w:rFonts w:ascii="楷体_GB2312" w:eastAsia="楷体_GB2312"/>
          <w:sz w:val="24"/>
          <w:szCs w:val="24"/>
        </w:rPr>
        <w:t>加入亚投行</w:t>
      </w:r>
      <w:proofErr w:type="gramEnd"/>
      <w:r w:rsidRPr="00E8490A">
        <w:rPr>
          <w:rFonts w:ascii="楷体_GB2312" w:eastAsia="楷体_GB2312"/>
          <w:sz w:val="24"/>
          <w:szCs w:val="24"/>
        </w:rPr>
        <w:t>也可以得到印证</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涉及的基础设施建设与能源投资是可控的。</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因此，沿袭自中国汉唐以来形成并被沿线国家所认同的</w:t>
      </w:r>
      <w:r w:rsidRPr="00E8490A">
        <w:rPr>
          <w:rFonts w:ascii="楷体_GB2312" w:eastAsia="楷体_GB2312"/>
          <w:sz w:val="24"/>
          <w:szCs w:val="24"/>
        </w:rPr>
        <w:t>“</w:t>
      </w:r>
      <w:r w:rsidRPr="00E8490A">
        <w:rPr>
          <w:rFonts w:ascii="楷体_GB2312" w:eastAsia="楷体_GB2312"/>
          <w:sz w:val="24"/>
          <w:szCs w:val="24"/>
        </w:rPr>
        <w:t>丝路精神</w:t>
      </w:r>
      <w:r w:rsidRPr="00E8490A">
        <w:rPr>
          <w:rFonts w:ascii="楷体_GB2312" w:eastAsia="楷体_GB2312"/>
          <w:sz w:val="24"/>
          <w:szCs w:val="24"/>
        </w:rPr>
        <w:t>”</w:t>
      </w:r>
      <w:r w:rsidRPr="00E8490A">
        <w:rPr>
          <w:rFonts w:ascii="楷体_GB2312" w:eastAsia="楷体_GB2312"/>
          <w:sz w:val="24"/>
          <w:szCs w:val="24"/>
        </w:rPr>
        <w:t>，在延伸</w:t>
      </w:r>
      <w:r w:rsidRPr="00E8490A">
        <w:rPr>
          <w:rFonts w:ascii="楷体_GB2312" w:eastAsia="楷体_GB2312"/>
          <w:sz w:val="24"/>
          <w:szCs w:val="24"/>
        </w:rPr>
        <w:lastRenderedPageBreak/>
        <w:t>出的</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proofErr w:type="gramStart"/>
      <w:r w:rsidRPr="00E8490A">
        <w:rPr>
          <w:rFonts w:ascii="楷体_GB2312" w:eastAsia="楷体_GB2312"/>
          <w:sz w:val="24"/>
          <w:szCs w:val="24"/>
        </w:rPr>
        <w:t>愿景下</w:t>
      </w:r>
      <w:proofErr w:type="gramEnd"/>
      <w:r w:rsidRPr="00E8490A">
        <w:rPr>
          <w:rFonts w:ascii="楷体_GB2312" w:eastAsia="楷体_GB2312"/>
          <w:sz w:val="24"/>
          <w:szCs w:val="24"/>
        </w:rPr>
        <w:t>，能源投资迎来历史机遇。将</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构想比喻成一把展开的折扇，从中可以看出能源投资的大致框架。</w:t>
      </w:r>
    </w:p>
    <w:p w:rsidR="00E8490A" w:rsidRPr="00E8490A" w:rsidRDefault="00E8490A" w:rsidP="00E8490A">
      <w:pPr>
        <w:spacing w:line="360" w:lineRule="auto"/>
        <w:ind w:firstLineChars="200" w:firstLine="482"/>
        <w:rPr>
          <w:rFonts w:ascii="楷体_GB2312" w:eastAsia="楷体_GB2312"/>
          <w:sz w:val="24"/>
          <w:szCs w:val="24"/>
        </w:rPr>
      </w:pPr>
      <w:r w:rsidRPr="00E8490A">
        <w:rPr>
          <w:rFonts w:ascii="楷体_GB2312" w:eastAsia="楷体_GB2312"/>
          <w:b/>
          <w:bCs/>
          <w:sz w:val="24"/>
          <w:szCs w:val="24"/>
        </w:rPr>
        <w:t>延伸扇骨</w:t>
      </w:r>
      <w:r w:rsidRPr="00E8490A">
        <w:rPr>
          <w:rFonts w:ascii="楷体_GB2312" w:eastAsia="楷体_GB2312"/>
          <w:b/>
          <w:bCs/>
          <w:sz w:val="24"/>
          <w:szCs w:val="24"/>
        </w:rPr>
        <w:t>——</w:t>
      </w:r>
      <w:r w:rsidRPr="00E8490A">
        <w:rPr>
          <w:rFonts w:ascii="楷体_GB2312" w:eastAsia="楷体_GB2312"/>
          <w:b/>
          <w:bCs/>
          <w:sz w:val="24"/>
          <w:szCs w:val="24"/>
        </w:rPr>
        <w:t>能源输送通道。</w:t>
      </w:r>
      <w:r w:rsidRPr="00E8490A">
        <w:rPr>
          <w:rFonts w:ascii="楷体_GB2312" w:eastAsia="楷体_GB2312"/>
          <w:sz w:val="24"/>
          <w:szCs w:val="24"/>
        </w:rPr>
        <w:t>中国已经建成并将继续推进建设多条跨境能源通道，其中包括中亚四条能源管线、中俄油气管线、中巴能源走廊、中缅能源通道和海上丝路核心能源枢纽建设，并推进中俄、中国大湄公河次区域的特高压跨境电力与输电通道建设。</w:t>
      </w:r>
    </w:p>
    <w:p w:rsidR="00E8490A" w:rsidRPr="00E8490A" w:rsidRDefault="00E8490A" w:rsidP="00E8490A">
      <w:pPr>
        <w:spacing w:line="360" w:lineRule="auto"/>
        <w:ind w:firstLineChars="200" w:firstLine="482"/>
        <w:rPr>
          <w:rFonts w:ascii="楷体_GB2312" w:eastAsia="楷体_GB2312"/>
          <w:sz w:val="24"/>
          <w:szCs w:val="24"/>
        </w:rPr>
      </w:pPr>
      <w:r w:rsidRPr="00E8490A">
        <w:rPr>
          <w:rFonts w:ascii="楷体_GB2312" w:eastAsia="楷体_GB2312"/>
          <w:b/>
          <w:bCs/>
          <w:sz w:val="24"/>
          <w:szCs w:val="24"/>
        </w:rPr>
        <w:t>布局扇面</w:t>
      </w:r>
      <w:r w:rsidRPr="00E8490A">
        <w:rPr>
          <w:rFonts w:ascii="楷体_GB2312" w:eastAsia="楷体_GB2312"/>
          <w:b/>
          <w:bCs/>
          <w:sz w:val="24"/>
          <w:szCs w:val="24"/>
        </w:rPr>
        <w:t>——</w:t>
      </w:r>
      <w:r w:rsidRPr="00E8490A">
        <w:rPr>
          <w:rFonts w:ascii="楷体_GB2312" w:eastAsia="楷体_GB2312"/>
          <w:b/>
          <w:bCs/>
          <w:sz w:val="24"/>
          <w:szCs w:val="24"/>
        </w:rPr>
        <w:t>能源矿产资源。</w:t>
      </w:r>
      <w:r w:rsidRPr="00E8490A">
        <w:rPr>
          <w:rFonts w:ascii="楷体_GB2312" w:eastAsia="楷体_GB2312"/>
          <w:sz w:val="24"/>
          <w:szCs w:val="24"/>
        </w:rPr>
        <w:t>在中亚、中东和西伯利亚地区，蕴藏丰富的油气、煤炭、水电等清洁可再生能源资源。当前世界油气需求疲软、国际油价持续低迷，中国可以通过</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合作机制争取相对廉价的油气资源，兼顾国内与当地市场，发展全产业链的能源开发中心。</w:t>
      </w:r>
    </w:p>
    <w:p w:rsidR="00E8490A" w:rsidRPr="00E8490A" w:rsidRDefault="00E8490A" w:rsidP="00E8490A">
      <w:pPr>
        <w:spacing w:line="360" w:lineRule="auto"/>
        <w:ind w:firstLineChars="200" w:firstLine="482"/>
        <w:rPr>
          <w:rFonts w:ascii="楷体_GB2312" w:eastAsia="楷体_GB2312"/>
          <w:sz w:val="24"/>
          <w:szCs w:val="24"/>
        </w:rPr>
      </w:pPr>
      <w:r w:rsidRPr="00E8490A">
        <w:rPr>
          <w:rFonts w:ascii="楷体_GB2312" w:eastAsia="楷体_GB2312"/>
          <w:b/>
          <w:bCs/>
          <w:sz w:val="24"/>
          <w:szCs w:val="24"/>
        </w:rPr>
        <w:t>做强扇轴</w:t>
      </w:r>
      <w:r w:rsidRPr="00E8490A">
        <w:rPr>
          <w:rFonts w:ascii="楷体_GB2312" w:eastAsia="楷体_GB2312"/>
          <w:b/>
          <w:bCs/>
          <w:sz w:val="24"/>
          <w:szCs w:val="24"/>
        </w:rPr>
        <w:t>——</w:t>
      </w:r>
      <w:r w:rsidRPr="00E8490A">
        <w:rPr>
          <w:rFonts w:ascii="楷体_GB2312" w:eastAsia="楷体_GB2312"/>
          <w:b/>
          <w:bCs/>
          <w:sz w:val="24"/>
          <w:szCs w:val="24"/>
        </w:rPr>
        <w:t>国内制造业中心。</w:t>
      </w:r>
      <w:r w:rsidRPr="00E8490A">
        <w:rPr>
          <w:rFonts w:ascii="楷体_GB2312" w:eastAsia="楷体_GB2312"/>
          <w:sz w:val="24"/>
          <w:szCs w:val="24"/>
        </w:rPr>
        <w:t>我国在东南沿海和内陆地区形成了大体量的能源制造业中心，能源</w:t>
      </w:r>
      <w:proofErr w:type="gramStart"/>
      <w:r w:rsidRPr="00E8490A">
        <w:rPr>
          <w:rFonts w:ascii="楷体_GB2312" w:eastAsia="楷体_GB2312"/>
          <w:sz w:val="24"/>
          <w:szCs w:val="24"/>
        </w:rPr>
        <w:t>装备高</w:t>
      </w:r>
      <w:proofErr w:type="gramEnd"/>
      <w:r w:rsidRPr="00E8490A">
        <w:rPr>
          <w:rFonts w:ascii="楷体_GB2312" w:eastAsia="楷体_GB2312"/>
          <w:sz w:val="24"/>
          <w:szCs w:val="24"/>
        </w:rPr>
        <w:t>端化、智能化发展趋势要求日益迫切，</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创造的市场是能源装备和工程技术服务企业开拓市场和产业升级的新蓝海。</w:t>
      </w:r>
    </w:p>
    <w:p w:rsidR="00E8490A" w:rsidRPr="00E8490A" w:rsidRDefault="00E8490A" w:rsidP="00E8490A">
      <w:pPr>
        <w:spacing w:line="360" w:lineRule="auto"/>
        <w:ind w:firstLineChars="200" w:firstLine="480"/>
        <w:rPr>
          <w:rFonts w:ascii="楷体_GB2312" w:eastAsia="楷体_GB2312"/>
          <w:sz w:val="24"/>
          <w:szCs w:val="24"/>
        </w:rPr>
      </w:pPr>
      <w:r w:rsidRPr="00E8490A">
        <w:rPr>
          <w:rFonts w:ascii="楷体_GB2312" w:eastAsia="楷体_GB2312"/>
          <w:sz w:val="24"/>
          <w:szCs w:val="24"/>
        </w:rPr>
        <w:t>为开展多层次和多渠道沟通磋商，搭建中国能源企业和金融机构了解融入</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，2015年5月15日，由中国</w:t>
      </w:r>
      <w:proofErr w:type="gramStart"/>
      <w:r w:rsidRPr="00E8490A">
        <w:rPr>
          <w:rFonts w:ascii="楷体_GB2312" w:eastAsia="楷体_GB2312"/>
          <w:sz w:val="24"/>
          <w:szCs w:val="24"/>
        </w:rPr>
        <w:t>能源网</w:t>
      </w:r>
      <w:proofErr w:type="gramEnd"/>
      <w:r w:rsidRPr="00E8490A">
        <w:rPr>
          <w:rFonts w:ascii="楷体_GB2312" w:eastAsia="楷体_GB2312"/>
          <w:sz w:val="24"/>
          <w:szCs w:val="24"/>
        </w:rPr>
        <w:t>联合中国企业投资协会、清华大学战略与政策研究中心共同在京举办</w:t>
      </w:r>
      <w:r w:rsidRPr="00E8490A">
        <w:rPr>
          <w:rFonts w:ascii="楷体_GB2312" w:eastAsia="楷体_GB2312"/>
          <w:sz w:val="24"/>
          <w:szCs w:val="24"/>
        </w:rPr>
        <w:t>“</w:t>
      </w:r>
      <w:r w:rsidRPr="00E8490A">
        <w:rPr>
          <w:rFonts w:ascii="楷体_GB2312" w:eastAsia="楷体_GB2312"/>
          <w:sz w:val="24"/>
          <w:szCs w:val="24"/>
        </w:rPr>
        <w:t>2015第十一届中国能源战略投资论坛</w:t>
      </w:r>
      <w:r w:rsidRPr="00E8490A">
        <w:rPr>
          <w:rFonts w:ascii="楷体_GB2312" w:eastAsia="楷体_GB2312"/>
          <w:sz w:val="24"/>
          <w:szCs w:val="24"/>
        </w:rPr>
        <w:t>”</w:t>
      </w:r>
      <w:r w:rsidRPr="00E8490A">
        <w:rPr>
          <w:rFonts w:ascii="楷体_GB2312" w:eastAsia="楷体_GB2312"/>
          <w:sz w:val="24"/>
          <w:szCs w:val="24"/>
        </w:rPr>
        <w:t>，会上将有来自</w:t>
      </w:r>
      <w:hyperlink r:id="rId18" w:tgtFrame="_blank" w:history="1">
        <w:proofErr w:type="gramStart"/>
        <w:r w:rsidRPr="00E8490A">
          <w:rPr>
            <w:rStyle w:val="a9"/>
            <w:rFonts w:ascii="楷体_GB2312" w:eastAsia="楷体_GB2312"/>
            <w:sz w:val="24"/>
            <w:szCs w:val="24"/>
          </w:rPr>
          <w:t>国家发改委</w:t>
        </w:r>
        <w:proofErr w:type="gramEnd"/>
      </w:hyperlink>
      <w:r w:rsidRPr="00E8490A">
        <w:rPr>
          <w:rFonts w:ascii="楷体_GB2312" w:eastAsia="楷体_GB2312"/>
          <w:sz w:val="24"/>
          <w:szCs w:val="24"/>
        </w:rPr>
        <w:t>、</w:t>
      </w:r>
      <w:hyperlink r:id="rId19" w:tgtFrame="_blank" w:history="1">
        <w:r w:rsidRPr="00E8490A">
          <w:rPr>
            <w:rStyle w:val="a9"/>
            <w:rFonts w:ascii="楷体_GB2312" w:eastAsia="楷体_GB2312"/>
            <w:sz w:val="24"/>
            <w:szCs w:val="24"/>
          </w:rPr>
          <w:t>国家能源局</w:t>
        </w:r>
      </w:hyperlink>
      <w:r w:rsidRPr="00E8490A">
        <w:rPr>
          <w:rFonts w:ascii="楷体_GB2312" w:eastAsia="楷体_GB2312"/>
          <w:sz w:val="24"/>
          <w:szCs w:val="24"/>
        </w:rPr>
        <w:t>、社会科学院、北京大学、国家开发银行的专家学者及电力、油气、新能源等领域的企业家，探讨中国能源产业在对内推进四个革命、对外实施</w:t>
      </w:r>
      <w:r w:rsidRPr="00E8490A">
        <w:rPr>
          <w:rFonts w:ascii="楷体_GB2312" w:eastAsia="楷体_GB2312"/>
          <w:sz w:val="24"/>
          <w:szCs w:val="24"/>
        </w:rPr>
        <w:t>“</w:t>
      </w:r>
      <w:r w:rsidRPr="00E8490A">
        <w:rPr>
          <w:rFonts w:ascii="楷体_GB2312" w:eastAsia="楷体_GB2312"/>
          <w:sz w:val="24"/>
          <w:szCs w:val="24"/>
        </w:rPr>
        <w:t>一带一路</w:t>
      </w:r>
      <w:r w:rsidRPr="00E8490A">
        <w:rPr>
          <w:rFonts w:ascii="楷体_GB2312" w:eastAsia="楷体_GB2312"/>
          <w:sz w:val="24"/>
          <w:szCs w:val="24"/>
        </w:rPr>
        <w:t>”</w:t>
      </w:r>
      <w:r w:rsidRPr="00E8490A">
        <w:rPr>
          <w:rFonts w:ascii="楷体_GB2312" w:eastAsia="楷体_GB2312"/>
          <w:sz w:val="24"/>
          <w:szCs w:val="24"/>
        </w:rPr>
        <w:t>战略的关键期将面临的机遇、挑战和风险。</w:t>
      </w:r>
    </w:p>
    <w:p w:rsidR="00E8490A" w:rsidRPr="00E8490A" w:rsidRDefault="00E8490A" w:rsidP="00E8490A">
      <w:pPr>
        <w:spacing w:line="360" w:lineRule="auto"/>
        <w:ind w:firstLineChars="200" w:firstLine="480"/>
        <w:rPr>
          <w:rFonts w:ascii="楷体_GB2312" w:eastAsia="楷体_GB2312" w:hint="eastAsia"/>
          <w:sz w:val="24"/>
          <w:szCs w:val="24"/>
        </w:rPr>
      </w:pPr>
    </w:p>
    <w:p w:rsidR="00E8490A" w:rsidRDefault="00E8490A" w:rsidP="00E8490A">
      <w:pPr>
        <w:spacing w:line="360" w:lineRule="auto"/>
        <w:ind w:firstLineChars="200" w:firstLine="480"/>
        <w:rPr>
          <w:rFonts w:ascii="楷体_GB2312" w:eastAsia="楷体_GB2312" w:hint="eastAsia"/>
          <w:sz w:val="24"/>
          <w:szCs w:val="24"/>
        </w:rPr>
      </w:pPr>
    </w:p>
    <w:p w:rsidR="00E8490A" w:rsidRDefault="00E8490A" w:rsidP="00E8490A">
      <w:pPr>
        <w:spacing w:line="360" w:lineRule="auto"/>
        <w:ind w:firstLineChars="200" w:firstLine="480"/>
        <w:rPr>
          <w:rFonts w:ascii="楷体_GB2312" w:eastAsia="楷体_GB2312" w:hint="eastAsia"/>
          <w:sz w:val="24"/>
          <w:szCs w:val="24"/>
        </w:rPr>
      </w:pPr>
    </w:p>
    <w:p w:rsidR="00E8490A" w:rsidRDefault="00E8490A" w:rsidP="00E8490A">
      <w:pPr>
        <w:spacing w:line="360" w:lineRule="auto"/>
        <w:ind w:firstLineChars="200" w:firstLine="480"/>
        <w:rPr>
          <w:rFonts w:ascii="楷体_GB2312" w:eastAsia="楷体_GB2312" w:hint="eastAsia"/>
          <w:sz w:val="24"/>
          <w:szCs w:val="24"/>
        </w:rPr>
      </w:pPr>
    </w:p>
    <w:p w:rsidR="00E8490A" w:rsidRPr="00E8490A" w:rsidRDefault="00E8490A" w:rsidP="00E8490A">
      <w:pPr>
        <w:spacing w:line="360" w:lineRule="auto"/>
        <w:ind w:firstLineChars="200" w:firstLine="480"/>
        <w:rPr>
          <w:rFonts w:ascii="楷体_GB2312" w:eastAsia="楷体_GB2312"/>
          <w:sz w:val="24"/>
          <w:szCs w:val="24"/>
        </w:rPr>
      </w:pPr>
    </w:p>
    <w:p w:rsidR="00BB7E03" w:rsidRPr="00B81DE3" w:rsidRDefault="00BB7E03" w:rsidP="00534477">
      <w:pPr>
        <w:spacing w:line="400" w:lineRule="atLeast"/>
        <w:jc w:val="center"/>
        <w:rPr>
          <w:rFonts w:ascii="楷体_GB2312" w:eastAsia="楷体_GB2312"/>
          <w:sz w:val="24"/>
          <w:szCs w:val="24"/>
        </w:rPr>
      </w:pPr>
    </w:p>
    <w:sectPr w:rsidR="00BB7E03" w:rsidRPr="00B81DE3" w:rsidSect="0006181A">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2DA" w:rsidRDefault="005612DA" w:rsidP="00471645">
      <w:r>
        <w:separator/>
      </w:r>
    </w:p>
  </w:endnote>
  <w:endnote w:type="continuationSeparator" w:id="0">
    <w:p w:rsidR="005612DA" w:rsidRDefault="005612DA" w:rsidP="0047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隶书">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隶书">
    <w:altName w:val="宋体"/>
    <w:panose1 w:val="02010800040101010101"/>
    <w:charset w:val="86"/>
    <w:family w:val="auto"/>
    <w:pitch w:val="variable"/>
    <w:sig w:usb0="00000001" w:usb1="080F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2DA" w:rsidRDefault="005612DA" w:rsidP="00471645">
      <w:r>
        <w:separator/>
      </w:r>
    </w:p>
  </w:footnote>
  <w:footnote w:type="continuationSeparator" w:id="0">
    <w:p w:rsidR="005612DA" w:rsidRDefault="005612DA" w:rsidP="00471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
      </v:shape>
    </w:pict>
  </w:numPicBullet>
  <w:abstractNum w:abstractNumId="0">
    <w:nsid w:val="08781EFC"/>
    <w:multiLevelType w:val="hybridMultilevel"/>
    <w:tmpl w:val="B0E6FA0C"/>
    <w:lvl w:ilvl="0" w:tplc="BC72D2EC">
      <w:start w:val="1"/>
      <w:numFmt w:val="bullet"/>
      <w:lvlText w:val=""/>
      <w:lvlPicBulletId w:val="0"/>
      <w:lvlJc w:val="left"/>
      <w:pPr>
        <w:tabs>
          <w:tab w:val="num" w:pos="1941"/>
        </w:tabs>
        <w:ind w:left="1941"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EEC0790"/>
    <w:multiLevelType w:val="hybridMultilevel"/>
    <w:tmpl w:val="8C6CADDC"/>
    <w:lvl w:ilvl="0" w:tplc="0409000B">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2">
    <w:nsid w:val="29915CF7"/>
    <w:multiLevelType w:val="hybridMultilevel"/>
    <w:tmpl w:val="6E809526"/>
    <w:lvl w:ilvl="0" w:tplc="0409000F">
      <w:start w:val="1"/>
      <w:numFmt w:val="decimal"/>
      <w:lvlText w:val="%1."/>
      <w:lvlJc w:val="left"/>
      <w:pPr>
        <w:tabs>
          <w:tab w:val="num" w:pos="1680"/>
        </w:tabs>
        <w:ind w:left="1680" w:hanging="420"/>
      </w:pPr>
      <w:rPr>
        <w:rFonts w:cs="Times New Roman"/>
      </w:rPr>
    </w:lvl>
    <w:lvl w:ilvl="1" w:tplc="04090019" w:tentative="1">
      <w:start w:val="1"/>
      <w:numFmt w:val="lowerLetter"/>
      <w:lvlText w:val="%2)"/>
      <w:lvlJc w:val="left"/>
      <w:pPr>
        <w:tabs>
          <w:tab w:val="num" w:pos="2100"/>
        </w:tabs>
        <w:ind w:left="2100" w:hanging="420"/>
      </w:pPr>
      <w:rPr>
        <w:rFonts w:cs="Times New Roman"/>
      </w:rPr>
    </w:lvl>
    <w:lvl w:ilvl="2" w:tplc="0409001B" w:tentative="1">
      <w:start w:val="1"/>
      <w:numFmt w:val="lowerRoman"/>
      <w:lvlText w:val="%3."/>
      <w:lvlJc w:val="right"/>
      <w:pPr>
        <w:tabs>
          <w:tab w:val="num" w:pos="2520"/>
        </w:tabs>
        <w:ind w:left="2520" w:hanging="420"/>
      </w:pPr>
      <w:rPr>
        <w:rFonts w:cs="Times New Roman"/>
      </w:rPr>
    </w:lvl>
    <w:lvl w:ilvl="3" w:tplc="0409000F" w:tentative="1">
      <w:start w:val="1"/>
      <w:numFmt w:val="decimal"/>
      <w:lvlText w:val="%4."/>
      <w:lvlJc w:val="left"/>
      <w:pPr>
        <w:tabs>
          <w:tab w:val="num" w:pos="2940"/>
        </w:tabs>
        <w:ind w:left="2940" w:hanging="420"/>
      </w:pPr>
      <w:rPr>
        <w:rFonts w:cs="Times New Roman"/>
      </w:rPr>
    </w:lvl>
    <w:lvl w:ilvl="4" w:tplc="04090019" w:tentative="1">
      <w:start w:val="1"/>
      <w:numFmt w:val="lowerLetter"/>
      <w:lvlText w:val="%5)"/>
      <w:lvlJc w:val="left"/>
      <w:pPr>
        <w:tabs>
          <w:tab w:val="num" w:pos="3360"/>
        </w:tabs>
        <w:ind w:left="3360" w:hanging="420"/>
      </w:pPr>
      <w:rPr>
        <w:rFonts w:cs="Times New Roman"/>
      </w:rPr>
    </w:lvl>
    <w:lvl w:ilvl="5" w:tplc="0409001B" w:tentative="1">
      <w:start w:val="1"/>
      <w:numFmt w:val="lowerRoman"/>
      <w:lvlText w:val="%6."/>
      <w:lvlJc w:val="right"/>
      <w:pPr>
        <w:tabs>
          <w:tab w:val="num" w:pos="3780"/>
        </w:tabs>
        <w:ind w:left="3780" w:hanging="420"/>
      </w:pPr>
      <w:rPr>
        <w:rFonts w:cs="Times New Roman"/>
      </w:rPr>
    </w:lvl>
    <w:lvl w:ilvl="6" w:tplc="0409000F" w:tentative="1">
      <w:start w:val="1"/>
      <w:numFmt w:val="decimal"/>
      <w:lvlText w:val="%7."/>
      <w:lvlJc w:val="left"/>
      <w:pPr>
        <w:tabs>
          <w:tab w:val="num" w:pos="4200"/>
        </w:tabs>
        <w:ind w:left="4200" w:hanging="420"/>
      </w:pPr>
      <w:rPr>
        <w:rFonts w:cs="Times New Roman"/>
      </w:rPr>
    </w:lvl>
    <w:lvl w:ilvl="7" w:tplc="04090019" w:tentative="1">
      <w:start w:val="1"/>
      <w:numFmt w:val="lowerLetter"/>
      <w:lvlText w:val="%8)"/>
      <w:lvlJc w:val="left"/>
      <w:pPr>
        <w:tabs>
          <w:tab w:val="num" w:pos="4620"/>
        </w:tabs>
        <w:ind w:left="4620" w:hanging="420"/>
      </w:pPr>
      <w:rPr>
        <w:rFonts w:cs="Times New Roman"/>
      </w:rPr>
    </w:lvl>
    <w:lvl w:ilvl="8" w:tplc="0409001B" w:tentative="1">
      <w:start w:val="1"/>
      <w:numFmt w:val="lowerRoman"/>
      <w:lvlText w:val="%9."/>
      <w:lvlJc w:val="right"/>
      <w:pPr>
        <w:tabs>
          <w:tab w:val="num" w:pos="5040"/>
        </w:tabs>
        <w:ind w:left="504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0A"/>
    <w:rsid w:val="00016805"/>
    <w:rsid w:val="0006181A"/>
    <w:rsid w:val="00064F8C"/>
    <w:rsid w:val="0007260A"/>
    <w:rsid w:val="000A3CBC"/>
    <w:rsid w:val="000B6D1C"/>
    <w:rsid w:val="000B7137"/>
    <w:rsid w:val="000C79DE"/>
    <w:rsid w:val="000D2FFC"/>
    <w:rsid w:val="00131311"/>
    <w:rsid w:val="00153015"/>
    <w:rsid w:val="001605E7"/>
    <w:rsid w:val="001E2548"/>
    <w:rsid w:val="002258CF"/>
    <w:rsid w:val="00230221"/>
    <w:rsid w:val="00231C1F"/>
    <w:rsid w:val="00231EA2"/>
    <w:rsid w:val="002342FD"/>
    <w:rsid w:val="00242B09"/>
    <w:rsid w:val="00250601"/>
    <w:rsid w:val="00270925"/>
    <w:rsid w:val="002A7B56"/>
    <w:rsid w:val="002B3633"/>
    <w:rsid w:val="003235F3"/>
    <w:rsid w:val="00376EF3"/>
    <w:rsid w:val="00390A48"/>
    <w:rsid w:val="003B087C"/>
    <w:rsid w:val="003E20DC"/>
    <w:rsid w:val="003F481E"/>
    <w:rsid w:val="00407A5E"/>
    <w:rsid w:val="0041345A"/>
    <w:rsid w:val="00424AB3"/>
    <w:rsid w:val="00440DCC"/>
    <w:rsid w:val="004607E3"/>
    <w:rsid w:val="0046107A"/>
    <w:rsid w:val="00471645"/>
    <w:rsid w:val="00484940"/>
    <w:rsid w:val="004B5ACF"/>
    <w:rsid w:val="004B6958"/>
    <w:rsid w:val="00533028"/>
    <w:rsid w:val="00534477"/>
    <w:rsid w:val="005433E4"/>
    <w:rsid w:val="005612DA"/>
    <w:rsid w:val="005655C0"/>
    <w:rsid w:val="00580F93"/>
    <w:rsid w:val="00583FD9"/>
    <w:rsid w:val="00586591"/>
    <w:rsid w:val="00593F82"/>
    <w:rsid w:val="005A43EC"/>
    <w:rsid w:val="005A5750"/>
    <w:rsid w:val="005E63E8"/>
    <w:rsid w:val="00603311"/>
    <w:rsid w:val="00616C47"/>
    <w:rsid w:val="006227A5"/>
    <w:rsid w:val="006374B2"/>
    <w:rsid w:val="0064701F"/>
    <w:rsid w:val="00664754"/>
    <w:rsid w:val="00670442"/>
    <w:rsid w:val="00681741"/>
    <w:rsid w:val="00682E65"/>
    <w:rsid w:val="00687FEF"/>
    <w:rsid w:val="006A36B8"/>
    <w:rsid w:val="006A3C88"/>
    <w:rsid w:val="00724280"/>
    <w:rsid w:val="00761696"/>
    <w:rsid w:val="00767657"/>
    <w:rsid w:val="00773A8F"/>
    <w:rsid w:val="007934F6"/>
    <w:rsid w:val="007A1A17"/>
    <w:rsid w:val="007B61D6"/>
    <w:rsid w:val="007B7B33"/>
    <w:rsid w:val="007C4DED"/>
    <w:rsid w:val="007D6B12"/>
    <w:rsid w:val="00814D0D"/>
    <w:rsid w:val="0086211E"/>
    <w:rsid w:val="00882E1C"/>
    <w:rsid w:val="00885B62"/>
    <w:rsid w:val="008C76FB"/>
    <w:rsid w:val="008E4203"/>
    <w:rsid w:val="008F4BA8"/>
    <w:rsid w:val="00933610"/>
    <w:rsid w:val="00936705"/>
    <w:rsid w:val="009369DD"/>
    <w:rsid w:val="00942103"/>
    <w:rsid w:val="00950978"/>
    <w:rsid w:val="009A0BF3"/>
    <w:rsid w:val="009B51D4"/>
    <w:rsid w:val="009E1961"/>
    <w:rsid w:val="00A55B46"/>
    <w:rsid w:val="00A565CB"/>
    <w:rsid w:val="00A579DB"/>
    <w:rsid w:val="00A627CF"/>
    <w:rsid w:val="00A90347"/>
    <w:rsid w:val="00A9526F"/>
    <w:rsid w:val="00AB5241"/>
    <w:rsid w:val="00AC2422"/>
    <w:rsid w:val="00AC3308"/>
    <w:rsid w:val="00AE0F27"/>
    <w:rsid w:val="00B04A28"/>
    <w:rsid w:val="00B241CE"/>
    <w:rsid w:val="00B308AC"/>
    <w:rsid w:val="00B32A9A"/>
    <w:rsid w:val="00B35380"/>
    <w:rsid w:val="00B62F2E"/>
    <w:rsid w:val="00B721C6"/>
    <w:rsid w:val="00B81DE3"/>
    <w:rsid w:val="00BB6415"/>
    <w:rsid w:val="00BB7E03"/>
    <w:rsid w:val="00BC1F35"/>
    <w:rsid w:val="00BD473B"/>
    <w:rsid w:val="00BF1B3A"/>
    <w:rsid w:val="00C071EB"/>
    <w:rsid w:val="00C25D51"/>
    <w:rsid w:val="00C900F5"/>
    <w:rsid w:val="00C93642"/>
    <w:rsid w:val="00CB4E4C"/>
    <w:rsid w:val="00CD7016"/>
    <w:rsid w:val="00CF5048"/>
    <w:rsid w:val="00D00E61"/>
    <w:rsid w:val="00D11C39"/>
    <w:rsid w:val="00D257C6"/>
    <w:rsid w:val="00D3706A"/>
    <w:rsid w:val="00D64B8D"/>
    <w:rsid w:val="00D9241F"/>
    <w:rsid w:val="00DB06C6"/>
    <w:rsid w:val="00DE06E6"/>
    <w:rsid w:val="00E460B1"/>
    <w:rsid w:val="00E50846"/>
    <w:rsid w:val="00E54EEC"/>
    <w:rsid w:val="00E71ED8"/>
    <w:rsid w:val="00E8490A"/>
    <w:rsid w:val="00ED72F9"/>
    <w:rsid w:val="00EE37D2"/>
    <w:rsid w:val="00EE4A8E"/>
    <w:rsid w:val="00EE678A"/>
    <w:rsid w:val="00F17BDE"/>
    <w:rsid w:val="00F615F6"/>
    <w:rsid w:val="00FB5F34"/>
    <w:rsid w:val="00FC2936"/>
    <w:rsid w:val="00FD58EF"/>
    <w:rsid w:val="00FE1DC7"/>
    <w:rsid w:val="00FE44C1"/>
    <w:rsid w:val="2ECB624B"/>
    <w:rsid w:val="70F06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257C6"/>
    <w:pPr>
      <w:widowControl w:val="0"/>
      <w:jc w:val="both"/>
    </w:pPr>
    <w:rPr>
      <w:rFonts w:ascii="Calibri" w:hAnsi="Calibri"/>
      <w:kern w:val="2"/>
      <w:sz w:val="21"/>
      <w:szCs w:val="22"/>
    </w:rPr>
  </w:style>
  <w:style w:type="paragraph" w:styleId="1">
    <w:name w:val="heading 1"/>
    <w:basedOn w:val="a"/>
    <w:next w:val="a"/>
    <w:link w:val="1Char"/>
    <w:uiPriority w:val="99"/>
    <w:qFormat/>
    <w:locked/>
    <w:rsid w:val="00D257C6"/>
    <w:pPr>
      <w:keepNext/>
      <w:keepLines/>
      <w:spacing w:before="340" w:after="330" w:line="576" w:lineRule="auto"/>
      <w:outlineLvl w:val="0"/>
    </w:pPr>
    <w:rPr>
      <w:b/>
      <w:kern w:val="44"/>
      <w:sz w:val="44"/>
    </w:rPr>
  </w:style>
  <w:style w:type="paragraph" w:styleId="3">
    <w:name w:val="heading 3"/>
    <w:basedOn w:val="a"/>
    <w:link w:val="3Char"/>
    <w:uiPriority w:val="99"/>
    <w:qFormat/>
    <w:rsid w:val="00D257C6"/>
    <w:pPr>
      <w:widowControl/>
      <w:jc w:val="left"/>
      <w:outlineLvl w:val="2"/>
    </w:pPr>
    <w:rPr>
      <w:rFonts w:ascii="宋体" w:hAnsi="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73A8F"/>
    <w:rPr>
      <w:rFonts w:ascii="Calibri" w:hAnsi="Calibri" w:cs="Times New Roman"/>
      <w:b/>
      <w:bCs/>
      <w:kern w:val="44"/>
      <w:sz w:val="44"/>
      <w:szCs w:val="44"/>
    </w:rPr>
  </w:style>
  <w:style w:type="character" w:customStyle="1" w:styleId="3Char">
    <w:name w:val="标题 3 Char"/>
    <w:link w:val="3"/>
    <w:uiPriority w:val="99"/>
    <w:locked/>
    <w:rsid w:val="00D257C6"/>
    <w:rPr>
      <w:rFonts w:ascii="宋体" w:eastAsia="宋体" w:hAnsi="宋体" w:cs="Times New Roman"/>
      <w:b/>
      <w:kern w:val="0"/>
      <w:sz w:val="27"/>
    </w:rPr>
  </w:style>
  <w:style w:type="paragraph" w:styleId="a3">
    <w:name w:val="Balloon Text"/>
    <w:basedOn w:val="a"/>
    <w:link w:val="Char"/>
    <w:uiPriority w:val="99"/>
    <w:semiHidden/>
    <w:rsid w:val="00D257C6"/>
    <w:rPr>
      <w:rFonts w:ascii="Times New Roman" w:hAnsi="Times New Roman"/>
      <w:kern w:val="0"/>
      <w:sz w:val="18"/>
      <w:szCs w:val="18"/>
    </w:rPr>
  </w:style>
  <w:style w:type="character" w:customStyle="1" w:styleId="Char">
    <w:name w:val="批注框文本 Char"/>
    <w:link w:val="a3"/>
    <w:uiPriority w:val="99"/>
    <w:semiHidden/>
    <w:locked/>
    <w:rsid w:val="00D257C6"/>
    <w:rPr>
      <w:rFonts w:cs="Times New Roman"/>
      <w:sz w:val="18"/>
    </w:rPr>
  </w:style>
  <w:style w:type="paragraph" w:styleId="a4">
    <w:name w:val="footer"/>
    <w:basedOn w:val="a"/>
    <w:link w:val="Char0"/>
    <w:uiPriority w:val="99"/>
    <w:semiHidden/>
    <w:rsid w:val="00D257C6"/>
    <w:pPr>
      <w:tabs>
        <w:tab w:val="center" w:pos="4153"/>
        <w:tab w:val="right" w:pos="8306"/>
      </w:tabs>
      <w:snapToGrid w:val="0"/>
      <w:jc w:val="left"/>
    </w:pPr>
    <w:rPr>
      <w:rFonts w:ascii="Times New Roman" w:hAnsi="Times New Roman"/>
      <w:kern w:val="0"/>
      <w:sz w:val="18"/>
      <w:szCs w:val="18"/>
    </w:rPr>
  </w:style>
  <w:style w:type="character" w:customStyle="1" w:styleId="Char0">
    <w:name w:val="页脚 Char"/>
    <w:link w:val="a4"/>
    <w:uiPriority w:val="99"/>
    <w:semiHidden/>
    <w:locked/>
    <w:rsid w:val="00D257C6"/>
    <w:rPr>
      <w:rFonts w:cs="Times New Roman"/>
      <w:sz w:val="18"/>
    </w:rPr>
  </w:style>
  <w:style w:type="paragraph" w:styleId="a5">
    <w:name w:val="header"/>
    <w:basedOn w:val="a"/>
    <w:link w:val="Char1"/>
    <w:uiPriority w:val="99"/>
    <w:semiHidden/>
    <w:rsid w:val="00D257C6"/>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1">
    <w:name w:val="页眉 Char"/>
    <w:link w:val="a5"/>
    <w:uiPriority w:val="99"/>
    <w:semiHidden/>
    <w:locked/>
    <w:rsid w:val="00D257C6"/>
    <w:rPr>
      <w:rFonts w:cs="Times New Roman"/>
      <w:sz w:val="18"/>
    </w:rPr>
  </w:style>
  <w:style w:type="paragraph" w:styleId="a6">
    <w:name w:val="Normal (Web)"/>
    <w:basedOn w:val="a"/>
    <w:uiPriority w:val="99"/>
    <w:semiHidden/>
    <w:rsid w:val="00D257C6"/>
    <w:pPr>
      <w:widowControl/>
      <w:spacing w:before="100" w:beforeAutospacing="1" w:after="100" w:afterAutospacing="1"/>
      <w:jc w:val="left"/>
    </w:pPr>
    <w:rPr>
      <w:rFonts w:ascii="宋体" w:hAnsi="宋体" w:cs="宋体"/>
      <w:kern w:val="0"/>
      <w:sz w:val="24"/>
      <w:szCs w:val="24"/>
    </w:rPr>
  </w:style>
  <w:style w:type="character" w:styleId="a7">
    <w:name w:val="Strong"/>
    <w:uiPriority w:val="99"/>
    <w:qFormat/>
    <w:rsid w:val="00D257C6"/>
    <w:rPr>
      <w:rFonts w:cs="Times New Roman"/>
      <w:b/>
    </w:rPr>
  </w:style>
  <w:style w:type="character" w:styleId="a8">
    <w:name w:val="FollowedHyperlink"/>
    <w:uiPriority w:val="99"/>
    <w:rsid w:val="00D257C6"/>
    <w:rPr>
      <w:rFonts w:cs="Times New Roman"/>
      <w:color w:val="000000"/>
      <w:u w:val="none"/>
    </w:rPr>
  </w:style>
  <w:style w:type="character" w:styleId="a9">
    <w:name w:val="Hyperlink"/>
    <w:uiPriority w:val="99"/>
    <w:rsid w:val="00D257C6"/>
    <w:rPr>
      <w:rFonts w:cs="Times New Roman"/>
      <w:color w:val="000000"/>
      <w:u w:val="none"/>
    </w:rPr>
  </w:style>
  <w:style w:type="character" w:styleId="HTML">
    <w:name w:val="HTML Cite"/>
    <w:uiPriority w:val="99"/>
    <w:rsid w:val="00D257C6"/>
    <w:rPr>
      <w:rFonts w:cs="Times New Roman"/>
      <w:i/>
      <w:vanish/>
    </w:rPr>
  </w:style>
  <w:style w:type="character" w:customStyle="1" w:styleId="apple-converted-space">
    <w:name w:val="apple-converted-space"/>
    <w:uiPriority w:val="99"/>
    <w:rsid w:val="00D257C6"/>
  </w:style>
  <w:style w:type="character" w:customStyle="1" w:styleId="top3">
    <w:name w:val="top3"/>
    <w:uiPriority w:val="99"/>
    <w:rsid w:val="00D257C6"/>
    <w:rPr>
      <w:color w:val="900C14"/>
    </w:rPr>
  </w:style>
  <w:style w:type="character" w:customStyle="1" w:styleId="top">
    <w:name w:val="top"/>
    <w:uiPriority w:val="99"/>
    <w:rsid w:val="00D257C6"/>
    <w:rPr>
      <w:color w:val="900C14"/>
    </w:rPr>
  </w:style>
  <w:style w:type="character" w:customStyle="1" w:styleId="top2">
    <w:name w:val="top2"/>
    <w:uiPriority w:val="99"/>
    <w:rsid w:val="00D257C6"/>
    <w:rPr>
      <w:color w:val="900C14"/>
    </w:rPr>
  </w:style>
  <w:style w:type="character" w:customStyle="1" w:styleId="top1">
    <w:name w:val="top1"/>
    <w:uiPriority w:val="99"/>
    <w:rsid w:val="00D257C6"/>
    <w:rPr>
      <w:color w:val="900C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257C6"/>
    <w:pPr>
      <w:widowControl w:val="0"/>
      <w:jc w:val="both"/>
    </w:pPr>
    <w:rPr>
      <w:rFonts w:ascii="Calibri" w:hAnsi="Calibri"/>
      <w:kern w:val="2"/>
      <w:sz w:val="21"/>
      <w:szCs w:val="22"/>
    </w:rPr>
  </w:style>
  <w:style w:type="paragraph" w:styleId="1">
    <w:name w:val="heading 1"/>
    <w:basedOn w:val="a"/>
    <w:next w:val="a"/>
    <w:link w:val="1Char"/>
    <w:uiPriority w:val="99"/>
    <w:qFormat/>
    <w:locked/>
    <w:rsid w:val="00D257C6"/>
    <w:pPr>
      <w:keepNext/>
      <w:keepLines/>
      <w:spacing w:before="340" w:after="330" w:line="576" w:lineRule="auto"/>
      <w:outlineLvl w:val="0"/>
    </w:pPr>
    <w:rPr>
      <w:b/>
      <w:kern w:val="44"/>
      <w:sz w:val="44"/>
    </w:rPr>
  </w:style>
  <w:style w:type="paragraph" w:styleId="3">
    <w:name w:val="heading 3"/>
    <w:basedOn w:val="a"/>
    <w:link w:val="3Char"/>
    <w:uiPriority w:val="99"/>
    <w:qFormat/>
    <w:rsid w:val="00D257C6"/>
    <w:pPr>
      <w:widowControl/>
      <w:jc w:val="left"/>
      <w:outlineLvl w:val="2"/>
    </w:pPr>
    <w:rPr>
      <w:rFonts w:ascii="宋体" w:hAnsi="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773A8F"/>
    <w:rPr>
      <w:rFonts w:ascii="Calibri" w:hAnsi="Calibri" w:cs="Times New Roman"/>
      <w:b/>
      <w:bCs/>
      <w:kern w:val="44"/>
      <w:sz w:val="44"/>
      <w:szCs w:val="44"/>
    </w:rPr>
  </w:style>
  <w:style w:type="character" w:customStyle="1" w:styleId="3Char">
    <w:name w:val="标题 3 Char"/>
    <w:link w:val="3"/>
    <w:uiPriority w:val="99"/>
    <w:locked/>
    <w:rsid w:val="00D257C6"/>
    <w:rPr>
      <w:rFonts w:ascii="宋体" w:eastAsia="宋体" w:hAnsi="宋体" w:cs="Times New Roman"/>
      <w:b/>
      <w:kern w:val="0"/>
      <w:sz w:val="27"/>
    </w:rPr>
  </w:style>
  <w:style w:type="paragraph" w:styleId="a3">
    <w:name w:val="Balloon Text"/>
    <w:basedOn w:val="a"/>
    <w:link w:val="Char"/>
    <w:uiPriority w:val="99"/>
    <w:semiHidden/>
    <w:rsid w:val="00D257C6"/>
    <w:rPr>
      <w:rFonts w:ascii="Times New Roman" w:hAnsi="Times New Roman"/>
      <w:kern w:val="0"/>
      <w:sz w:val="18"/>
      <w:szCs w:val="18"/>
    </w:rPr>
  </w:style>
  <w:style w:type="character" w:customStyle="1" w:styleId="Char">
    <w:name w:val="批注框文本 Char"/>
    <w:link w:val="a3"/>
    <w:uiPriority w:val="99"/>
    <w:semiHidden/>
    <w:locked/>
    <w:rsid w:val="00D257C6"/>
    <w:rPr>
      <w:rFonts w:cs="Times New Roman"/>
      <w:sz w:val="18"/>
    </w:rPr>
  </w:style>
  <w:style w:type="paragraph" w:styleId="a4">
    <w:name w:val="footer"/>
    <w:basedOn w:val="a"/>
    <w:link w:val="Char0"/>
    <w:uiPriority w:val="99"/>
    <w:semiHidden/>
    <w:rsid w:val="00D257C6"/>
    <w:pPr>
      <w:tabs>
        <w:tab w:val="center" w:pos="4153"/>
        <w:tab w:val="right" w:pos="8306"/>
      </w:tabs>
      <w:snapToGrid w:val="0"/>
      <w:jc w:val="left"/>
    </w:pPr>
    <w:rPr>
      <w:rFonts w:ascii="Times New Roman" w:hAnsi="Times New Roman"/>
      <w:kern w:val="0"/>
      <w:sz w:val="18"/>
      <w:szCs w:val="18"/>
    </w:rPr>
  </w:style>
  <w:style w:type="character" w:customStyle="1" w:styleId="Char0">
    <w:name w:val="页脚 Char"/>
    <w:link w:val="a4"/>
    <w:uiPriority w:val="99"/>
    <w:semiHidden/>
    <w:locked/>
    <w:rsid w:val="00D257C6"/>
    <w:rPr>
      <w:rFonts w:cs="Times New Roman"/>
      <w:sz w:val="18"/>
    </w:rPr>
  </w:style>
  <w:style w:type="paragraph" w:styleId="a5">
    <w:name w:val="header"/>
    <w:basedOn w:val="a"/>
    <w:link w:val="Char1"/>
    <w:uiPriority w:val="99"/>
    <w:semiHidden/>
    <w:rsid w:val="00D257C6"/>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1">
    <w:name w:val="页眉 Char"/>
    <w:link w:val="a5"/>
    <w:uiPriority w:val="99"/>
    <w:semiHidden/>
    <w:locked/>
    <w:rsid w:val="00D257C6"/>
    <w:rPr>
      <w:rFonts w:cs="Times New Roman"/>
      <w:sz w:val="18"/>
    </w:rPr>
  </w:style>
  <w:style w:type="paragraph" w:styleId="a6">
    <w:name w:val="Normal (Web)"/>
    <w:basedOn w:val="a"/>
    <w:uiPriority w:val="99"/>
    <w:semiHidden/>
    <w:rsid w:val="00D257C6"/>
    <w:pPr>
      <w:widowControl/>
      <w:spacing w:before="100" w:beforeAutospacing="1" w:after="100" w:afterAutospacing="1"/>
      <w:jc w:val="left"/>
    </w:pPr>
    <w:rPr>
      <w:rFonts w:ascii="宋体" w:hAnsi="宋体" w:cs="宋体"/>
      <w:kern w:val="0"/>
      <w:sz w:val="24"/>
      <w:szCs w:val="24"/>
    </w:rPr>
  </w:style>
  <w:style w:type="character" w:styleId="a7">
    <w:name w:val="Strong"/>
    <w:uiPriority w:val="99"/>
    <w:qFormat/>
    <w:rsid w:val="00D257C6"/>
    <w:rPr>
      <w:rFonts w:cs="Times New Roman"/>
      <w:b/>
    </w:rPr>
  </w:style>
  <w:style w:type="character" w:styleId="a8">
    <w:name w:val="FollowedHyperlink"/>
    <w:uiPriority w:val="99"/>
    <w:rsid w:val="00D257C6"/>
    <w:rPr>
      <w:rFonts w:cs="Times New Roman"/>
      <w:color w:val="000000"/>
      <w:u w:val="none"/>
    </w:rPr>
  </w:style>
  <w:style w:type="character" w:styleId="a9">
    <w:name w:val="Hyperlink"/>
    <w:uiPriority w:val="99"/>
    <w:rsid w:val="00D257C6"/>
    <w:rPr>
      <w:rFonts w:cs="Times New Roman"/>
      <w:color w:val="000000"/>
      <w:u w:val="none"/>
    </w:rPr>
  </w:style>
  <w:style w:type="character" w:styleId="HTML">
    <w:name w:val="HTML Cite"/>
    <w:uiPriority w:val="99"/>
    <w:rsid w:val="00D257C6"/>
    <w:rPr>
      <w:rFonts w:cs="Times New Roman"/>
      <w:i/>
      <w:vanish/>
    </w:rPr>
  </w:style>
  <w:style w:type="character" w:customStyle="1" w:styleId="apple-converted-space">
    <w:name w:val="apple-converted-space"/>
    <w:uiPriority w:val="99"/>
    <w:rsid w:val="00D257C6"/>
  </w:style>
  <w:style w:type="character" w:customStyle="1" w:styleId="top3">
    <w:name w:val="top3"/>
    <w:uiPriority w:val="99"/>
    <w:rsid w:val="00D257C6"/>
    <w:rPr>
      <w:color w:val="900C14"/>
    </w:rPr>
  </w:style>
  <w:style w:type="character" w:customStyle="1" w:styleId="top">
    <w:name w:val="top"/>
    <w:uiPriority w:val="99"/>
    <w:rsid w:val="00D257C6"/>
    <w:rPr>
      <w:color w:val="900C14"/>
    </w:rPr>
  </w:style>
  <w:style w:type="character" w:customStyle="1" w:styleId="top2">
    <w:name w:val="top2"/>
    <w:uiPriority w:val="99"/>
    <w:rsid w:val="00D257C6"/>
    <w:rPr>
      <w:color w:val="900C14"/>
    </w:rPr>
  </w:style>
  <w:style w:type="character" w:customStyle="1" w:styleId="top1">
    <w:name w:val="top1"/>
    <w:uiPriority w:val="99"/>
    <w:rsid w:val="00D257C6"/>
    <w:rPr>
      <w:color w:val="900C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9585">
      <w:bodyDiv w:val="1"/>
      <w:marLeft w:val="0"/>
      <w:marRight w:val="0"/>
      <w:marTop w:val="0"/>
      <w:marBottom w:val="0"/>
      <w:divBdr>
        <w:top w:val="none" w:sz="0" w:space="0" w:color="auto"/>
        <w:left w:val="none" w:sz="0" w:space="0" w:color="auto"/>
        <w:bottom w:val="none" w:sz="0" w:space="0" w:color="auto"/>
        <w:right w:val="none" w:sz="0" w:space="0" w:color="auto"/>
      </w:divBdr>
    </w:div>
    <w:div w:id="265506473">
      <w:bodyDiv w:val="1"/>
      <w:marLeft w:val="0"/>
      <w:marRight w:val="0"/>
      <w:marTop w:val="0"/>
      <w:marBottom w:val="0"/>
      <w:divBdr>
        <w:top w:val="none" w:sz="0" w:space="0" w:color="auto"/>
        <w:left w:val="none" w:sz="0" w:space="0" w:color="auto"/>
        <w:bottom w:val="none" w:sz="0" w:space="0" w:color="auto"/>
        <w:right w:val="none" w:sz="0" w:space="0" w:color="auto"/>
      </w:divBdr>
    </w:div>
    <w:div w:id="528184049">
      <w:bodyDiv w:val="1"/>
      <w:marLeft w:val="0"/>
      <w:marRight w:val="0"/>
      <w:marTop w:val="0"/>
      <w:marBottom w:val="0"/>
      <w:divBdr>
        <w:top w:val="none" w:sz="0" w:space="0" w:color="auto"/>
        <w:left w:val="none" w:sz="0" w:space="0" w:color="auto"/>
        <w:bottom w:val="none" w:sz="0" w:space="0" w:color="auto"/>
        <w:right w:val="none" w:sz="0" w:space="0" w:color="auto"/>
      </w:divBdr>
      <w:divsChild>
        <w:div w:id="775254449">
          <w:marLeft w:val="0"/>
          <w:marRight w:val="0"/>
          <w:marTop w:val="0"/>
          <w:marBottom w:val="0"/>
          <w:divBdr>
            <w:top w:val="none" w:sz="0" w:space="0" w:color="auto"/>
            <w:left w:val="none" w:sz="0" w:space="0" w:color="auto"/>
            <w:bottom w:val="single" w:sz="6" w:space="8" w:color="E5E5E5"/>
            <w:right w:val="none" w:sz="0" w:space="0" w:color="auto"/>
          </w:divBdr>
          <w:divsChild>
            <w:div w:id="1554123257">
              <w:marLeft w:val="0"/>
              <w:marRight w:val="0"/>
              <w:marTop w:val="0"/>
              <w:marBottom w:val="0"/>
              <w:divBdr>
                <w:top w:val="none" w:sz="0" w:space="0" w:color="auto"/>
                <w:left w:val="none" w:sz="0" w:space="0" w:color="auto"/>
                <w:bottom w:val="none" w:sz="0" w:space="0" w:color="auto"/>
                <w:right w:val="none" w:sz="0" w:space="0" w:color="auto"/>
              </w:divBdr>
            </w:div>
          </w:divsChild>
        </w:div>
        <w:div w:id="1169294100">
          <w:marLeft w:val="0"/>
          <w:marRight w:val="0"/>
          <w:marTop w:val="0"/>
          <w:marBottom w:val="0"/>
          <w:divBdr>
            <w:top w:val="none" w:sz="0" w:space="0" w:color="auto"/>
            <w:left w:val="none" w:sz="0" w:space="0" w:color="auto"/>
            <w:bottom w:val="none" w:sz="0" w:space="0" w:color="auto"/>
            <w:right w:val="none" w:sz="0" w:space="0" w:color="auto"/>
          </w:divBdr>
          <w:divsChild>
            <w:div w:id="8369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6469">
      <w:bodyDiv w:val="1"/>
      <w:marLeft w:val="0"/>
      <w:marRight w:val="0"/>
      <w:marTop w:val="0"/>
      <w:marBottom w:val="0"/>
      <w:divBdr>
        <w:top w:val="none" w:sz="0" w:space="0" w:color="auto"/>
        <w:left w:val="none" w:sz="0" w:space="0" w:color="auto"/>
        <w:bottom w:val="none" w:sz="0" w:space="0" w:color="auto"/>
        <w:right w:val="none" w:sz="0" w:space="0" w:color="auto"/>
      </w:divBdr>
    </w:div>
    <w:div w:id="1528058173">
      <w:bodyDiv w:val="1"/>
      <w:marLeft w:val="0"/>
      <w:marRight w:val="0"/>
      <w:marTop w:val="0"/>
      <w:marBottom w:val="0"/>
      <w:divBdr>
        <w:top w:val="none" w:sz="0" w:space="0" w:color="auto"/>
        <w:left w:val="none" w:sz="0" w:space="0" w:color="auto"/>
        <w:bottom w:val="none" w:sz="0" w:space="0" w:color="auto"/>
        <w:right w:val="none" w:sz="0" w:space="0" w:color="auto"/>
      </w:divBdr>
    </w:div>
    <w:div w:id="1822117765">
      <w:bodyDiv w:val="1"/>
      <w:marLeft w:val="0"/>
      <w:marRight w:val="0"/>
      <w:marTop w:val="0"/>
      <w:marBottom w:val="0"/>
      <w:divBdr>
        <w:top w:val="none" w:sz="0" w:space="0" w:color="auto"/>
        <w:left w:val="none" w:sz="0" w:space="0" w:color="auto"/>
        <w:bottom w:val="none" w:sz="0" w:space="0" w:color="auto"/>
        <w:right w:val="none" w:sz="0" w:space="0" w:color="auto"/>
      </w:divBdr>
    </w:div>
    <w:div w:id="1830366185">
      <w:bodyDiv w:val="1"/>
      <w:marLeft w:val="0"/>
      <w:marRight w:val="0"/>
      <w:marTop w:val="0"/>
      <w:marBottom w:val="0"/>
      <w:divBdr>
        <w:top w:val="none" w:sz="0" w:space="0" w:color="auto"/>
        <w:left w:val="none" w:sz="0" w:space="0" w:color="auto"/>
        <w:bottom w:val="none" w:sz="0" w:space="0" w:color="auto"/>
        <w:right w:val="none" w:sz="0" w:space="0" w:color="auto"/>
      </w:divBdr>
    </w:div>
    <w:div w:id="1864590345">
      <w:marLeft w:val="0"/>
      <w:marRight w:val="0"/>
      <w:marTop w:val="0"/>
      <w:marBottom w:val="0"/>
      <w:divBdr>
        <w:top w:val="none" w:sz="0" w:space="0" w:color="auto"/>
        <w:left w:val="none" w:sz="0" w:space="0" w:color="auto"/>
        <w:bottom w:val="none" w:sz="0" w:space="0" w:color="auto"/>
        <w:right w:val="none" w:sz="0" w:space="0" w:color="auto"/>
      </w:divBdr>
    </w:div>
    <w:div w:id="1864590346">
      <w:marLeft w:val="0"/>
      <w:marRight w:val="0"/>
      <w:marTop w:val="0"/>
      <w:marBottom w:val="0"/>
      <w:divBdr>
        <w:top w:val="none" w:sz="0" w:space="0" w:color="auto"/>
        <w:left w:val="none" w:sz="0" w:space="0" w:color="auto"/>
        <w:bottom w:val="none" w:sz="0" w:space="0" w:color="auto"/>
        <w:right w:val="none" w:sz="0" w:space="0" w:color="auto"/>
      </w:divBdr>
    </w:div>
    <w:div w:id="1864590347">
      <w:marLeft w:val="0"/>
      <w:marRight w:val="0"/>
      <w:marTop w:val="0"/>
      <w:marBottom w:val="0"/>
      <w:divBdr>
        <w:top w:val="none" w:sz="0" w:space="0" w:color="auto"/>
        <w:left w:val="none" w:sz="0" w:space="0" w:color="auto"/>
        <w:bottom w:val="none" w:sz="0" w:space="0" w:color="auto"/>
        <w:right w:val="none" w:sz="0" w:space="0" w:color="auto"/>
      </w:divBdr>
    </w:div>
    <w:div w:id="1864590348">
      <w:marLeft w:val="0"/>
      <w:marRight w:val="0"/>
      <w:marTop w:val="0"/>
      <w:marBottom w:val="0"/>
      <w:divBdr>
        <w:top w:val="none" w:sz="0" w:space="0" w:color="auto"/>
        <w:left w:val="none" w:sz="0" w:space="0" w:color="auto"/>
        <w:bottom w:val="none" w:sz="0" w:space="0" w:color="auto"/>
        <w:right w:val="none" w:sz="0" w:space="0" w:color="auto"/>
      </w:divBdr>
    </w:div>
    <w:div w:id="1864590349">
      <w:marLeft w:val="0"/>
      <w:marRight w:val="0"/>
      <w:marTop w:val="0"/>
      <w:marBottom w:val="0"/>
      <w:divBdr>
        <w:top w:val="none" w:sz="0" w:space="0" w:color="auto"/>
        <w:left w:val="none" w:sz="0" w:space="0" w:color="auto"/>
        <w:bottom w:val="none" w:sz="0" w:space="0" w:color="auto"/>
        <w:right w:val="none" w:sz="0" w:space="0" w:color="auto"/>
      </w:divBdr>
    </w:div>
    <w:div w:id="1864590350">
      <w:marLeft w:val="0"/>
      <w:marRight w:val="0"/>
      <w:marTop w:val="0"/>
      <w:marBottom w:val="0"/>
      <w:divBdr>
        <w:top w:val="none" w:sz="0" w:space="0" w:color="auto"/>
        <w:left w:val="none" w:sz="0" w:space="0" w:color="auto"/>
        <w:bottom w:val="none" w:sz="0" w:space="0" w:color="auto"/>
        <w:right w:val="none" w:sz="0" w:space="0" w:color="auto"/>
      </w:divBdr>
    </w:div>
    <w:div w:id="1864590351">
      <w:marLeft w:val="0"/>
      <w:marRight w:val="0"/>
      <w:marTop w:val="0"/>
      <w:marBottom w:val="0"/>
      <w:divBdr>
        <w:top w:val="none" w:sz="0" w:space="0" w:color="auto"/>
        <w:left w:val="none" w:sz="0" w:space="0" w:color="auto"/>
        <w:bottom w:val="none" w:sz="0" w:space="0" w:color="auto"/>
        <w:right w:val="none" w:sz="0" w:space="0" w:color="auto"/>
      </w:divBdr>
    </w:div>
    <w:div w:id="1864590352">
      <w:marLeft w:val="0"/>
      <w:marRight w:val="0"/>
      <w:marTop w:val="0"/>
      <w:marBottom w:val="0"/>
      <w:divBdr>
        <w:top w:val="none" w:sz="0" w:space="0" w:color="auto"/>
        <w:left w:val="none" w:sz="0" w:space="0" w:color="auto"/>
        <w:bottom w:val="none" w:sz="0" w:space="0" w:color="auto"/>
        <w:right w:val="none" w:sz="0" w:space="0" w:color="auto"/>
      </w:divBdr>
    </w:div>
    <w:div w:id="1864590353">
      <w:marLeft w:val="0"/>
      <w:marRight w:val="0"/>
      <w:marTop w:val="0"/>
      <w:marBottom w:val="0"/>
      <w:divBdr>
        <w:top w:val="none" w:sz="0" w:space="0" w:color="auto"/>
        <w:left w:val="none" w:sz="0" w:space="0" w:color="auto"/>
        <w:bottom w:val="none" w:sz="0" w:space="0" w:color="auto"/>
        <w:right w:val="none" w:sz="0" w:space="0" w:color="auto"/>
      </w:divBdr>
    </w:div>
    <w:div w:id="1864590354">
      <w:marLeft w:val="0"/>
      <w:marRight w:val="0"/>
      <w:marTop w:val="0"/>
      <w:marBottom w:val="0"/>
      <w:divBdr>
        <w:top w:val="none" w:sz="0" w:space="0" w:color="auto"/>
        <w:left w:val="none" w:sz="0" w:space="0" w:color="auto"/>
        <w:bottom w:val="none" w:sz="0" w:space="0" w:color="auto"/>
        <w:right w:val="none" w:sz="0" w:space="0" w:color="auto"/>
      </w:divBdr>
    </w:div>
    <w:div w:id="1864590355">
      <w:marLeft w:val="0"/>
      <w:marRight w:val="0"/>
      <w:marTop w:val="0"/>
      <w:marBottom w:val="0"/>
      <w:divBdr>
        <w:top w:val="none" w:sz="0" w:space="0" w:color="auto"/>
        <w:left w:val="none" w:sz="0" w:space="0" w:color="auto"/>
        <w:bottom w:val="none" w:sz="0" w:space="0" w:color="auto"/>
        <w:right w:val="none" w:sz="0" w:space="0" w:color="auto"/>
      </w:divBdr>
    </w:div>
    <w:div w:id="1864590356">
      <w:marLeft w:val="0"/>
      <w:marRight w:val="0"/>
      <w:marTop w:val="0"/>
      <w:marBottom w:val="0"/>
      <w:divBdr>
        <w:top w:val="none" w:sz="0" w:space="0" w:color="auto"/>
        <w:left w:val="none" w:sz="0" w:space="0" w:color="auto"/>
        <w:bottom w:val="none" w:sz="0" w:space="0" w:color="auto"/>
        <w:right w:val="none" w:sz="0" w:space="0" w:color="auto"/>
      </w:divBdr>
    </w:div>
    <w:div w:id="1864590357">
      <w:marLeft w:val="0"/>
      <w:marRight w:val="0"/>
      <w:marTop w:val="0"/>
      <w:marBottom w:val="0"/>
      <w:divBdr>
        <w:top w:val="none" w:sz="0" w:space="0" w:color="auto"/>
        <w:left w:val="none" w:sz="0" w:space="0" w:color="auto"/>
        <w:bottom w:val="none" w:sz="0" w:space="0" w:color="auto"/>
        <w:right w:val="none" w:sz="0" w:space="0" w:color="auto"/>
      </w:divBdr>
    </w:div>
    <w:div w:id="1864590358">
      <w:marLeft w:val="0"/>
      <w:marRight w:val="0"/>
      <w:marTop w:val="0"/>
      <w:marBottom w:val="0"/>
      <w:divBdr>
        <w:top w:val="none" w:sz="0" w:space="0" w:color="auto"/>
        <w:left w:val="none" w:sz="0" w:space="0" w:color="auto"/>
        <w:bottom w:val="none" w:sz="0" w:space="0" w:color="auto"/>
        <w:right w:val="none" w:sz="0" w:space="0" w:color="auto"/>
      </w:divBdr>
    </w:div>
    <w:div w:id="1864590359">
      <w:marLeft w:val="0"/>
      <w:marRight w:val="0"/>
      <w:marTop w:val="0"/>
      <w:marBottom w:val="0"/>
      <w:divBdr>
        <w:top w:val="none" w:sz="0" w:space="0" w:color="auto"/>
        <w:left w:val="none" w:sz="0" w:space="0" w:color="auto"/>
        <w:bottom w:val="none" w:sz="0" w:space="0" w:color="auto"/>
        <w:right w:val="none" w:sz="0" w:space="0" w:color="auto"/>
      </w:divBdr>
    </w:div>
    <w:div w:id="18645903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dpc.gov.cn/"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china5e.com/index.php?m=content&amp;c=index&amp;a=show&amp;catid=7&amp;id=45417" TargetMode="External"/><Relationship Id="rId2" Type="http://schemas.openxmlformats.org/officeDocument/2006/relationships/styles" Target="styles.xml"/><Relationship Id="rId16" Type="http://schemas.openxmlformats.org/officeDocument/2006/relationships/hyperlink" Target="http://www.china5e.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hina5e.com/target=_blank" TargetMode="External"/><Relationship Id="rId10" Type="http://schemas.openxmlformats.org/officeDocument/2006/relationships/image" Target="media/image4.png"/><Relationship Id="rId19" Type="http://schemas.openxmlformats.org/officeDocument/2006/relationships/hyperlink" Target="http://www.nea.gov.c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hina5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920</Words>
  <Characters>5247</Characters>
  <Application>Microsoft Office Word</Application>
  <DocSecurity>0</DocSecurity>
  <Lines>43</Lines>
  <Paragraphs>12</Paragraphs>
  <ScaleCrop>false</ScaleCrop>
  <Company>MS</Company>
  <LinksUpToDate>false</LinksUpToDate>
  <CharactersWithSpaces>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四川省哲学社会科学重点研究基地</dc:title>
  <dc:creator>商夷</dc:creator>
  <cp:lastModifiedBy>admin</cp:lastModifiedBy>
  <cp:revision>5</cp:revision>
  <cp:lastPrinted>2015-06-30T03:52:00Z</cp:lastPrinted>
  <dcterms:created xsi:type="dcterms:W3CDTF">2015-08-06T09:05:00Z</dcterms:created>
  <dcterms:modified xsi:type="dcterms:W3CDTF">2015-08-06T09:27:00Z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